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89712" w14:textId="0E681589" w:rsidR="00E90E49" w:rsidRPr="000242F1" w:rsidRDefault="00E90E49" w:rsidP="00E35559">
      <w:pPr>
        <w:pStyle w:val="3GPPHeader"/>
        <w:spacing w:after="60"/>
        <w:rPr>
          <w:sz w:val="32"/>
          <w:szCs w:val="32"/>
        </w:rPr>
      </w:pPr>
      <w:r w:rsidRPr="000242F1">
        <w:t>3GPP TSG-RAN WG</w:t>
      </w:r>
      <w:r w:rsidR="007730BD" w:rsidRPr="000242F1">
        <w:t>2</w:t>
      </w:r>
      <w:r w:rsidRPr="000242F1">
        <w:t xml:space="preserve"> #</w:t>
      </w:r>
      <w:r w:rsidR="00AE3743" w:rsidRPr="000242F1">
        <w:t>97bis</w:t>
      </w:r>
      <w:r w:rsidRPr="000242F1">
        <w:tab/>
      </w:r>
      <w:r w:rsidRPr="000242F1">
        <w:rPr>
          <w:sz w:val="32"/>
          <w:szCs w:val="32"/>
        </w:rPr>
        <w:t xml:space="preserve">Tdoc </w:t>
      </w:r>
      <w:r w:rsidR="00091557" w:rsidRPr="000242F1">
        <w:rPr>
          <w:sz w:val="32"/>
          <w:szCs w:val="32"/>
        </w:rPr>
        <w:t>R2-</w:t>
      </w:r>
      <w:r w:rsidR="005F3025" w:rsidRPr="000242F1">
        <w:rPr>
          <w:sz w:val="32"/>
          <w:szCs w:val="32"/>
        </w:rPr>
        <w:t>1</w:t>
      </w:r>
      <w:r w:rsidR="000039F4" w:rsidRPr="000242F1">
        <w:rPr>
          <w:sz w:val="32"/>
          <w:szCs w:val="32"/>
        </w:rPr>
        <w:t>7</w:t>
      </w:r>
      <w:r w:rsidR="000242F1">
        <w:rPr>
          <w:sz w:val="32"/>
          <w:szCs w:val="32"/>
        </w:rPr>
        <w:t>02701</w:t>
      </w:r>
    </w:p>
    <w:p w14:paraId="5D18802E" w14:textId="7607904D" w:rsidR="00E90E49" w:rsidRPr="000242F1" w:rsidRDefault="00AE3743" w:rsidP="00311702">
      <w:pPr>
        <w:pStyle w:val="3GPPHeader"/>
      </w:pPr>
      <w:r w:rsidRPr="000242F1">
        <w:t>Spokane, USA, 3</w:t>
      </w:r>
      <w:r w:rsidRPr="000242F1">
        <w:rPr>
          <w:vertAlign w:val="superscript"/>
        </w:rPr>
        <w:t>rd</w:t>
      </w:r>
      <w:r w:rsidRPr="000242F1">
        <w:t xml:space="preserve"> – 7</w:t>
      </w:r>
      <w:r w:rsidRPr="000242F1">
        <w:rPr>
          <w:vertAlign w:val="superscript"/>
        </w:rPr>
        <w:t>th</w:t>
      </w:r>
      <w:r w:rsidRPr="000242F1">
        <w:t xml:space="preserve"> April 2017</w:t>
      </w:r>
    </w:p>
    <w:p w14:paraId="0FFA3B1B" w14:textId="77777777" w:rsidR="00E90E49" w:rsidRPr="000242F1" w:rsidRDefault="00E90E49" w:rsidP="00357380">
      <w:pPr>
        <w:pStyle w:val="3GPPHeader"/>
      </w:pPr>
    </w:p>
    <w:p w14:paraId="0DBA3ED9" w14:textId="1035F1BD" w:rsidR="00E90E49" w:rsidRPr="000242F1" w:rsidRDefault="00E90E49" w:rsidP="00311702">
      <w:pPr>
        <w:pStyle w:val="3GPPHeader"/>
        <w:rPr>
          <w:sz w:val="22"/>
          <w:szCs w:val="22"/>
          <w:lang w:val="sv-SE"/>
        </w:rPr>
      </w:pPr>
      <w:r w:rsidRPr="000242F1">
        <w:rPr>
          <w:sz w:val="22"/>
          <w:szCs w:val="22"/>
          <w:lang w:val="sv-SE"/>
        </w:rPr>
        <w:t>Agenda Item:</w:t>
      </w:r>
      <w:r w:rsidRPr="000242F1">
        <w:rPr>
          <w:sz w:val="22"/>
          <w:szCs w:val="22"/>
          <w:lang w:val="sv-SE"/>
        </w:rPr>
        <w:tab/>
      </w:r>
      <w:r w:rsidR="000242F1">
        <w:rPr>
          <w:sz w:val="22"/>
          <w:szCs w:val="22"/>
          <w:lang w:val="sv-SE"/>
        </w:rPr>
        <w:t>10</w:t>
      </w:r>
      <w:r w:rsidR="00311702" w:rsidRPr="000242F1">
        <w:rPr>
          <w:sz w:val="22"/>
          <w:szCs w:val="22"/>
          <w:lang w:val="sv-SE"/>
        </w:rPr>
        <w:t>.</w:t>
      </w:r>
      <w:r w:rsidR="000242F1">
        <w:rPr>
          <w:sz w:val="22"/>
          <w:szCs w:val="22"/>
          <w:lang w:val="sv-SE"/>
        </w:rPr>
        <w:t>2</w:t>
      </w:r>
      <w:r w:rsidR="00311702" w:rsidRPr="000242F1">
        <w:rPr>
          <w:sz w:val="22"/>
          <w:szCs w:val="22"/>
          <w:lang w:val="sv-SE"/>
        </w:rPr>
        <w:t>.</w:t>
      </w:r>
      <w:r w:rsidR="000242F1">
        <w:rPr>
          <w:sz w:val="22"/>
          <w:szCs w:val="22"/>
          <w:lang w:val="sv-SE"/>
        </w:rPr>
        <w:t>2</w:t>
      </w:r>
      <w:r w:rsidR="00311702" w:rsidRPr="000242F1">
        <w:rPr>
          <w:sz w:val="22"/>
          <w:szCs w:val="22"/>
          <w:lang w:val="sv-SE"/>
        </w:rPr>
        <w:t>.</w:t>
      </w:r>
      <w:r w:rsidR="000242F1">
        <w:rPr>
          <w:sz w:val="22"/>
          <w:szCs w:val="22"/>
          <w:lang w:val="sv-SE"/>
        </w:rPr>
        <w:t>1</w:t>
      </w:r>
    </w:p>
    <w:p w14:paraId="3D09BB9C" w14:textId="77777777" w:rsidR="00E90E49" w:rsidRPr="000242F1" w:rsidRDefault="003D3C45" w:rsidP="00F64C2B">
      <w:pPr>
        <w:pStyle w:val="3GPPHeader"/>
        <w:rPr>
          <w:sz w:val="22"/>
          <w:szCs w:val="22"/>
        </w:rPr>
      </w:pPr>
      <w:r w:rsidRPr="000242F1">
        <w:rPr>
          <w:sz w:val="22"/>
          <w:szCs w:val="22"/>
        </w:rPr>
        <w:t>Source:</w:t>
      </w:r>
      <w:r w:rsidR="00E90E49" w:rsidRPr="000242F1">
        <w:rPr>
          <w:sz w:val="22"/>
          <w:szCs w:val="22"/>
        </w:rPr>
        <w:tab/>
      </w:r>
      <w:r w:rsidR="00F64C2B" w:rsidRPr="000242F1">
        <w:rPr>
          <w:sz w:val="22"/>
          <w:szCs w:val="22"/>
        </w:rPr>
        <w:t>Ericsson</w:t>
      </w:r>
    </w:p>
    <w:p w14:paraId="396F3307" w14:textId="595E9EB3" w:rsidR="00E90E49" w:rsidRPr="000242F1" w:rsidRDefault="003D3C45" w:rsidP="00311702">
      <w:pPr>
        <w:pStyle w:val="3GPPHeader"/>
        <w:rPr>
          <w:sz w:val="22"/>
          <w:szCs w:val="22"/>
        </w:rPr>
      </w:pPr>
      <w:r w:rsidRPr="000242F1">
        <w:rPr>
          <w:sz w:val="22"/>
          <w:szCs w:val="22"/>
        </w:rPr>
        <w:t>Title:</w:t>
      </w:r>
      <w:r w:rsidR="00E90E49" w:rsidRPr="000242F1">
        <w:rPr>
          <w:sz w:val="22"/>
          <w:szCs w:val="22"/>
        </w:rPr>
        <w:tab/>
      </w:r>
      <w:r w:rsidR="00A90B61" w:rsidRPr="000242F1">
        <w:rPr>
          <w:sz w:val="22"/>
          <w:szCs w:val="22"/>
        </w:rPr>
        <w:t>Secondary node change procedure</w:t>
      </w:r>
      <w:r w:rsidR="00E3511C" w:rsidRPr="000242F1">
        <w:rPr>
          <w:sz w:val="22"/>
          <w:szCs w:val="22"/>
        </w:rPr>
        <w:t>: Remaining issues</w:t>
      </w:r>
    </w:p>
    <w:p w14:paraId="7A0567D6" w14:textId="77777777" w:rsidR="00E90E49" w:rsidRPr="000242F1" w:rsidRDefault="00E90E49" w:rsidP="00D546FF">
      <w:pPr>
        <w:pStyle w:val="3GPPHeader"/>
        <w:rPr>
          <w:sz w:val="22"/>
          <w:szCs w:val="22"/>
        </w:rPr>
      </w:pPr>
      <w:r w:rsidRPr="000242F1">
        <w:rPr>
          <w:sz w:val="22"/>
          <w:szCs w:val="22"/>
        </w:rPr>
        <w:t>Document for:</w:t>
      </w:r>
      <w:r w:rsidRPr="000242F1">
        <w:rPr>
          <w:sz w:val="22"/>
          <w:szCs w:val="22"/>
        </w:rPr>
        <w:tab/>
        <w:t>Discussion, Decision</w:t>
      </w:r>
    </w:p>
    <w:p w14:paraId="3C6D63D8" w14:textId="77777777" w:rsidR="00E90E49" w:rsidRPr="000242F1" w:rsidRDefault="00E90E49" w:rsidP="00E90E49"/>
    <w:p w14:paraId="4B9C2CE9" w14:textId="77777777" w:rsidR="00E90E49" w:rsidRPr="000242F1" w:rsidRDefault="00E90E49" w:rsidP="00CE0424">
      <w:pPr>
        <w:pStyle w:val="Heading1"/>
      </w:pPr>
      <w:r w:rsidRPr="000242F1">
        <w:t>Introduction</w:t>
      </w:r>
    </w:p>
    <w:p w14:paraId="6A8C447B" w14:textId="77777777" w:rsidR="00A90B61" w:rsidRPr="000242F1" w:rsidRDefault="00A90B61" w:rsidP="00A90B61">
      <w:pPr>
        <w:pStyle w:val="Doc-text2"/>
        <w:tabs>
          <w:tab w:val="left" w:pos="720"/>
        </w:tabs>
        <w:ind w:left="0" w:firstLine="0"/>
        <w:rPr>
          <w:rFonts w:eastAsia="Times New Roman"/>
          <w:szCs w:val="20"/>
          <w:lang w:val="en-US" w:eastAsia="zh-CN"/>
        </w:rPr>
      </w:pPr>
      <w:r w:rsidRPr="000242F1">
        <w:rPr>
          <w:rFonts w:eastAsia="Times New Roman"/>
          <w:szCs w:val="20"/>
          <w:lang w:val="en-US" w:eastAsia="zh-CN"/>
        </w:rPr>
        <w:t>In 3GPP TSG-RAN WG2 NR Ad Hoc, the following agreements have been made:</w:t>
      </w:r>
    </w:p>
    <w:p w14:paraId="222C0870" w14:textId="77777777" w:rsidR="00A90B61" w:rsidRPr="000242F1" w:rsidRDefault="00A90B61" w:rsidP="00A90B61">
      <w:pPr>
        <w:pStyle w:val="Doc-text2"/>
        <w:tabs>
          <w:tab w:val="left" w:pos="720"/>
        </w:tabs>
        <w:ind w:left="142" w:firstLine="0"/>
      </w:pPr>
    </w:p>
    <w:p w14:paraId="0E4C7DCB" w14:textId="77777777" w:rsidR="00A90B61" w:rsidRPr="000242F1" w:rsidRDefault="00A90B61" w:rsidP="00A90B61">
      <w:pPr>
        <w:pStyle w:val="Doc-text2"/>
        <w:pBdr>
          <w:top w:val="single" w:sz="4" w:space="1" w:color="000000"/>
          <w:left w:val="single" w:sz="4" w:space="4" w:color="000000"/>
          <w:bottom w:val="single" w:sz="4" w:space="1" w:color="000000"/>
          <w:right w:val="single" w:sz="4" w:space="4" w:color="000000"/>
        </w:pBdr>
        <w:tabs>
          <w:tab w:val="left" w:pos="720"/>
        </w:tabs>
        <w:ind w:left="0" w:firstLine="0"/>
      </w:pPr>
      <w:r w:rsidRPr="000242F1">
        <w:t>Agreements:</w:t>
      </w:r>
    </w:p>
    <w:p w14:paraId="278284B4" w14:textId="77777777" w:rsidR="00A90B61" w:rsidRPr="000242F1" w:rsidRDefault="00A90B61" w:rsidP="00A90B61">
      <w:pPr>
        <w:pStyle w:val="Doc-text2"/>
        <w:pBdr>
          <w:top w:val="single" w:sz="4" w:space="1" w:color="000000"/>
          <w:left w:val="single" w:sz="4" w:space="4" w:color="000000"/>
          <w:bottom w:val="single" w:sz="4" w:space="1" w:color="000000"/>
          <w:right w:val="single" w:sz="4" w:space="4" w:color="000000"/>
        </w:pBdr>
        <w:tabs>
          <w:tab w:val="left" w:pos="720"/>
        </w:tabs>
        <w:ind w:left="0" w:firstLine="0"/>
      </w:pPr>
      <w:r w:rsidRPr="000242F1">
        <w:t>1: For initial configuration of LTE/NR tight interworking, the measurement configuration used by the UE should be configured by the master node.</w:t>
      </w:r>
    </w:p>
    <w:p w14:paraId="5529AA75" w14:textId="77777777" w:rsidR="00A90B61" w:rsidRPr="000242F1" w:rsidRDefault="00A90B61" w:rsidP="00A90B61">
      <w:pPr>
        <w:pStyle w:val="Doc-text2"/>
        <w:pBdr>
          <w:top w:val="single" w:sz="4" w:space="1" w:color="000000"/>
          <w:left w:val="single" w:sz="4" w:space="4" w:color="000000"/>
          <w:bottom w:val="single" w:sz="4" w:space="1" w:color="000000"/>
          <w:right w:val="single" w:sz="4" w:space="4" w:color="000000"/>
        </w:pBdr>
        <w:tabs>
          <w:tab w:val="left" w:pos="720"/>
        </w:tabs>
        <w:ind w:left="0" w:firstLine="0"/>
      </w:pPr>
      <w:r w:rsidRPr="000242F1">
        <w:t>2: For the LTE/NR tight interworking, the intra-secondary node mobility (including PSCell change and SCell release/addition) should be managed by the secondary node itself. At least in some cases, the master node needs to be informed of intra-secondary node mobility.</w:t>
      </w:r>
    </w:p>
    <w:p w14:paraId="3A7D25C4" w14:textId="77777777" w:rsidR="00A90B61" w:rsidRPr="000242F1" w:rsidRDefault="00A90B61" w:rsidP="00A90B61">
      <w:pPr>
        <w:pStyle w:val="Doc-text2"/>
        <w:pBdr>
          <w:top w:val="single" w:sz="4" w:space="1" w:color="000000"/>
          <w:left w:val="single" w:sz="4" w:space="4" w:color="000000"/>
          <w:bottom w:val="single" w:sz="4" w:space="1" w:color="000000"/>
          <w:right w:val="single" w:sz="4" w:space="4" w:color="000000"/>
        </w:pBdr>
        <w:tabs>
          <w:tab w:val="left" w:pos="720"/>
        </w:tabs>
        <w:ind w:left="0" w:firstLine="0"/>
      </w:pPr>
      <w:r w:rsidRPr="000242F1">
        <w:t>3: For the LTE/NR tight interworking, the measurement configuration used by the UE the intra-secondary node mobility should be managed by the secondary node. At least in some cases, coordination with the master is required.</w:t>
      </w:r>
    </w:p>
    <w:p w14:paraId="6E1EB32E" w14:textId="77777777" w:rsidR="00A90B61" w:rsidRPr="000242F1" w:rsidRDefault="00A90B61" w:rsidP="00A90B61">
      <w:pPr>
        <w:pStyle w:val="Doc-text2"/>
        <w:pBdr>
          <w:top w:val="single" w:sz="4" w:space="1" w:color="000000"/>
          <w:left w:val="single" w:sz="4" w:space="4" w:color="000000"/>
          <w:bottom w:val="single" w:sz="4" w:space="1" w:color="000000"/>
          <w:right w:val="single" w:sz="4" w:space="4" w:color="000000"/>
        </w:pBdr>
        <w:tabs>
          <w:tab w:val="left" w:pos="720"/>
        </w:tabs>
        <w:ind w:left="0" w:firstLine="0"/>
      </w:pPr>
      <w:r w:rsidRPr="000242F1">
        <w:t>4: Take the triggering of CP procedure listed below as baseline for the LTE/NR tight interworking:</w:t>
      </w:r>
    </w:p>
    <w:p w14:paraId="2ACCE9E4" w14:textId="77777777" w:rsidR="00A90B61" w:rsidRPr="000242F1" w:rsidRDefault="00A90B61" w:rsidP="00A90B61">
      <w:pPr>
        <w:pStyle w:val="Doc-text2"/>
        <w:pBdr>
          <w:top w:val="single" w:sz="4" w:space="1" w:color="000000"/>
          <w:left w:val="single" w:sz="4" w:space="4" w:color="000000"/>
          <w:bottom w:val="single" w:sz="4" w:space="1" w:color="000000"/>
          <w:right w:val="single" w:sz="4" w:space="4" w:color="000000"/>
        </w:pBdr>
        <w:tabs>
          <w:tab w:val="left" w:pos="720"/>
        </w:tabs>
        <w:ind w:left="0" w:firstLine="0"/>
      </w:pPr>
      <w:r w:rsidRPr="000242F1">
        <w:t>- Secondary Node Addition procedure: Triggered by master node.</w:t>
      </w:r>
    </w:p>
    <w:p w14:paraId="1235A52D" w14:textId="77777777" w:rsidR="00A90B61" w:rsidRPr="000242F1" w:rsidRDefault="00A90B61" w:rsidP="00A90B61">
      <w:pPr>
        <w:pStyle w:val="Doc-text2"/>
        <w:pBdr>
          <w:top w:val="single" w:sz="4" w:space="1" w:color="000000"/>
          <w:left w:val="single" w:sz="4" w:space="4" w:color="000000"/>
          <w:bottom w:val="single" w:sz="4" w:space="1" w:color="000000"/>
          <w:right w:val="single" w:sz="4" w:space="4" w:color="000000"/>
        </w:pBdr>
        <w:tabs>
          <w:tab w:val="left" w:pos="720"/>
        </w:tabs>
        <w:ind w:left="0" w:firstLine="0"/>
      </w:pPr>
      <w:r w:rsidRPr="000242F1">
        <w:t>- Secondary Node Release procedure: Triggered by both master node and secondary node.</w:t>
      </w:r>
    </w:p>
    <w:p w14:paraId="2F0E5E8E" w14:textId="77777777" w:rsidR="00A90B61" w:rsidRPr="000242F1" w:rsidRDefault="00A90B61" w:rsidP="00A90B61">
      <w:pPr>
        <w:pStyle w:val="Doc-text2"/>
        <w:pBdr>
          <w:top w:val="single" w:sz="4" w:space="1" w:color="000000"/>
          <w:left w:val="single" w:sz="4" w:space="4" w:color="000000"/>
          <w:bottom w:val="single" w:sz="4" w:space="1" w:color="000000"/>
          <w:right w:val="single" w:sz="4" w:space="4" w:color="000000"/>
        </w:pBdr>
        <w:tabs>
          <w:tab w:val="left" w:pos="720"/>
        </w:tabs>
        <w:ind w:left="0" w:firstLine="0"/>
      </w:pPr>
      <w:r w:rsidRPr="000242F1">
        <w:t>FFS Whether the secondary node or master node triggers change of secondary node</w:t>
      </w:r>
    </w:p>
    <w:p w14:paraId="554E31B2" w14:textId="77777777" w:rsidR="00A90B61" w:rsidRPr="000242F1" w:rsidRDefault="00A90B61" w:rsidP="00A90B61">
      <w:pPr>
        <w:pStyle w:val="Doc-text2"/>
        <w:pBdr>
          <w:top w:val="single" w:sz="4" w:space="1" w:color="000000"/>
          <w:left w:val="single" w:sz="4" w:space="4" w:color="000000"/>
          <w:bottom w:val="single" w:sz="4" w:space="1" w:color="000000"/>
          <w:right w:val="single" w:sz="4" w:space="4" w:color="000000"/>
        </w:pBdr>
        <w:tabs>
          <w:tab w:val="left" w:pos="720"/>
        </w:tabs>
        <w:ind w:left="0" w:firstLine="0"/>
      </w:pPr>
      <w:r w:rsidRPr="000242F1">
        <w:t>- Intra-secondary node mobility: Triggered by secondary node.</w:t>
      </w:r>
    </w:p>
    <w:p w14:paraId="33D557C6" w14:textId="77777777" w:rsidR="00A90B61" w:rsidRPr="000242F1" w:rsidRDefault="00A90B61" w:rsidP="00A90B61">
      <w:pPr>
        <w:pStyle w:val="Doc-text2"/>
        <w:pBdr>
          <w:top w:val="single" w:sz="4" w:space="1" w:color="000000"/>
          <w:left w:val="single" w:sz="4" w:space="4" w:color="000000"/>
          <w:bottom w:val="single" w:sz="4" w:space="1" w:color="000000"/>
          <w:right w:val="single" w:sz="4" w:space="4" w:color="000000"/>
        </w:pBdr>
        <w:tabs>
          <w:tab w:val="left" w:pos="720"/>
        </w:tabs>
        <w:ind w:left="0" w:firstLine="0"/>
      </w:pPr>
      <w:r w:rsidRPr="000242F1">
        <w:t>- Addition/Release of SCell within secondary node: Triggered by secondary node.</w:t>
      </w:r>
    </w:p>
    <w:p w14:paraId="1A95262B" w14:textId="77777777" w:rsidR="00A90B61" w:rsidRPr="000242F1" w:rsidRDefault="00A90B61" w:rsidP="00A90B61">
      <w:pPr>
        <w:pStyle w:val="Doc-text2"/>
        <w:tabs>
          <w:tab w:val="left" w:pos="720"/>
        </w:tabs>
        <w:ind w:left="142" w:firstLine="0"/>
      </w:pPr>
    </w:p>
    <w:p w14:paraId="66E5EDED" w14:textId="77777777" w:rsidR="00A90B61" w:rsidRPr="000242F1" w:rsidRDefault="00A90B61" w:rsidP="00A90B61">
      <w:pPr>
        <w:pStyle w:val="Doc-text2"/>
        <w:tabs>
          <w:tab w:val="left" w:pos="720"/>
        </w:tabs>
        <w:ind w:left="0" w:firstLine="0"/>
        <w:rPr>
          <w:rFonts w:eastAsia="Times New Roman"/>
          <w:szCs w:val="20"/>
          <w:lang w:val="en-US" w:eastAsia="zh-CN"/>
        </w:rPr>
      </w:pPr>
      <w:r w:rsidRPr="000242F1">
        <w:rPr>
          <w:rFonts w:eastAsia="Times New Roman"/>
          <w:szCs w:val="20"/>
          <w:lang w:val="en-US" w:eastAsia="zh-CN"/>
        </w:rPr>
        <w:t>In 3GPP TSG-RAN WG2#97, the following agreements have been made:</w:t>
      </w:r>
    </w:p>
    <w:p w14:paraId="1DE580AE" w14:textId="77777777" w:rsidR="00A90B61" w:rsidRPr="000242F1" w:rsidRDefault="00A90B61" w:rsidP="00A90B61">
      <w:pPr>
        <w:pStyle w:val="Doc-text2"/>
        <w:tabs>
          <w:tab w:val="left" w:pos="720"/>
        </w:tabs>
        <w:ind w:left="0" w:firstLine="0"/>
        <w:rPr>
          <w:rFonts w:eastAsia="Times New Roman"/>
          <w:szCs w:val="20"/>
          <w:lang w:val="en-US" w:eastAsia="zh-CN"/>
        </w:rPr>
      </w:pPr>
    </w:p>
    <w:p w14:paraId="0886560D" w14:textId="77777777" w:rsidR="00A90B61" w:rsidRPr="000242F1" w:rsidRDefault="00A90B61" w:rsidP="00A90B61">
      <w:pPr>
        <w:pBdr>
          <w:top w:val="single" w:sz="4" w:space="1" w:color="000000"/>
          <w:left w:val="single" w:sz="4" w:space="4" w:color="000000"/>
          <w:bottom w:val="single" w:sz="4" w:space="1" w:color="000000"/>
          <w:right w:val="single" w:sz="4" w:space="4" w:color="000000"/>
        </w:pBdr>
        <w:rPr>
          <w:rFonts w:ascii="Calibri" w:hAnsi="Calibri"/>
          <w:sz w:val="24"/>
          <w:szCs w:val="24"/>
          <w:lang w:eastAsia="en-GB"/>
        </w:rPr>
      </w:pPr>
      <w:r w:rsidRPr="000242F1">
        <w:rPr>
          <w:rFonts w:ascii="Calibri" w:hAnsi="Calibri"/>
          <w:sz w:val="24"/>
          <w:szCs w:val="24"/>
          <w:lang w:eastAsia="en-GB"/>
        </w:rPr>
        <w:t>Agreements</w:t>
      </w:r>
      <w:r w:rsidRPr="000242F1">
        <w:rPr>
          <w:rFonts w:ascii="Calibri" w:hAnsi="Calibri"/>
          <w:sz w:val="24"/>
          <w:szCs w:val="24"/>
          <w:lang w:eastAsia="en-GB"/>
        </w:rPr>
        <w:br/>
        <w:t>1: Secondary node initiates the secondary node change procedure in the connected active mode.</w:t>
      </w:r>
      <w:r w:rsidRPr="000242F1">
        <w:rPr>
          <w:rFonts w:ascii="Calibri" w:hAnsi="Calibri"/>
          <w:sz w:val="24"/>
          <w:szCs w:val="24"/>
          <w:lang w:eastAsia="en-GB"/>
        </w:rPr>
        <w:br/>
        <w:t>2: In some cases the MN is involved and takes final decision before the secondary node change occurs. FFS whether the MN needs to be involved for other cases (e.g. SN cell change without PDCP change)</w:t>
      </w:r>
      <w:r w:rsidRPr="000242F1">
        <w:rPr>
          <w:rFonts w:ascii="Calibri" w:hAnsi="Calibri"/>
          <w:sz w:val="24"/>
          <w:szCs w:val="24"/>
          <w:lang w:eastAsia="en-GB"/>
        </w:rPr>
        <w:br/>
        <w:t>3: The RRM measurement configuration for secondary node change is maintained by secondary node and also processes measurement reports.</w:t>
      </w:r>
      <w:r w:rsidRPr="000242F1">
        <w:rPr>
          <w:rFonts w:ascii="Calibri" w:hAnsi="Calibri"/>
          <w:sz w:val="24"/>
          <w:szCs w:val="24"/>
          <w:lang w:eastAsia="en-GB"/>
        </w:rPr>
        <w:br/>
        <w:t>FFS: what additional information can be provided from the SN to the MN when the SN change is initiated.</w:t>
      </w:r>
      <w:r w:rsidRPr="000242F1">
        <w:rPr>
          <w:rFonts w:ascii="Calibri" w:hAnsi="Calibri"/>
          <w:sz w:val="24"/>
          <w:szCs w:val="24"/>
          <w:lang w:eastAsia="en-GB"/>
        </w:rPr>
        <w:br/>
        <w:t>FFS: Whether master node can also initiate secondary node change procedure (e.g. inter-freq HO for load balancing reasons)</w:t>
      </w:r>
    </w:p>
    <w:p w14:paraId="249FE519" w14:textId="77777777" w:rsidR="00A90B61" w:rsidRPr="000242F1" w:rsidRDefault="00A90B61" w:rsidP="00A90B61"/>
    <w:p w14:paraId="4173BF82" w14:textId="75FDB12D" w:rsidR="00477768" w:rsidRPr="000242F1" w:rsidRDefault="004B783D" w:rsidP="00CE0424">
      <w:pPr>
        <w:pStyle w:val="BodyText"/>
        <w:rPr>
          <w:lang w:val="en-US"/>
        </w:rPr>
      </w:pPr>
      <w:r w:rsidRPr="000242F1">
        <w:rPr>
          <w:lang w:val="en-US"/>
        </w:rPr>
        <w:lastRenderedPageBreak/>
        <w:t xml:space="preserve">In this contribution, we will be focusing on the remaining RRM aspects of LTE-NR tight-interworking in case of secondary node change procedure. </w:t>
      </w:r>
    </w:p>
    <w:p w14:paraId="1086C867" w14:textId="77777777" w:rsidR="004000E8" w:rsidRPr="000242F1" w:rsidRDefault="004000E8" w:rsidP="00CE0424">
      <w:pPr>
        <w:pStyle w:val="Heading1"/>
      </w:pPr>
      <w:bookmarkStart w:id="0" w:name="_Ref178064866"/>
      <w:r w:rsidRPr="000242F1">
        <w:t>Discussion</w:t>
      </w:r>
      <w:bookmarkEnd w:id="0"/>
    </w:p>
    <w:p w14:paraId="30DC2AC9" w14:textId="20421801" w:rsidR="004B783D" w:rsidRPr="000242F1" w:rsidRDefault="00376AA8" w:rsidP="004B783D">
      <w:pPr>
        <w:pStyle w:val="BodyText"/>
      </w:pPr>
      <w:r w:rsidRPr="000242F1">
        <w:t>In the NR SI phase, we agreed that MCG SRB, SCG SRB and Split SRB options can be used for control plane message transport. When the secondary node change procedure is considered, all these three options can be used for delivering the measurement report</w:t>
      </w:r>
      <w:r w:rsidRPr="000242F1">
        <w:rPr>
          <w:lang w:val="en-US"/>
        </w:rPr>
        <w:t xml:space="preserve"> to the secondary node (SN) for processing and initiating the SN change procedure. If MCG SRB or Split SRB is used, the measurement report is sent via a transparent container embedded within an LTE RRC message. Otherwise, it is sent via NR RRC message via SCG SRB to SN for processing.</w:t>
      </w:r>
    </w:p>
    <w:p w14:paraId="06FE9291" w14:textId="31C4AA95" w:rsidR="00FF1B07" w:rsidRPr="000242F1" w:rsidRDefault="00B02CA5" w:rsidP="00FF1B07">
      <w:pPr>
        <w:pStyle w:val="Proposal"/>
        <w:tabs>
          <w:tab w:val="clear" w:pos="1701"/>
        </w:tabs>
        <w:rPr>
          <w:rFonts w:cs="Arial"/>
        </w:rPr>
      </w:pPr>
      <w:bookmarkStart w:id="1" w:name="_Toc478169896"/>
      <w:r>
        <w:rPr>
          <w:rFonts w:cs="Arial"/>
        </w:rPr>
        <w:t>M</w:t>
      </w:r>
      <w:r>
        <w:t xml:space="preserve">easurement reports can be sent either via MCG or SCG bearer. </w:t>
      </w:r>
      <w:r w:rsidR="00FA3430">
        <w:t>I</w:t>
      </w:r>
      <w:r>
        <w:t>n the first case they are then t</w:t>
      </w:r>
      <w:r w:rsidR="00FA3430">
        <w:t>ransferred to the SeNB. Finally,</w:t>
      </w:r>
      <w:r>
        <w:t xml:space="preserve"> SN trigger</w:t>
      </w:r>
      <w:r w:rsidR="00FA3430">
        <w:t>s</w:t>
      </w:r>
      <w:r>
        <w:t xml:space="preserve"> SN change based on </w:t>
      </w:r>
      <w:r w:rsidR="00FA3430">
        <w:t xml:space="preserve">the </w:t>
      </w:r>
      <w:r>
        <w:t>measurements</w:t>
      </w:r>
      <w:r w:rsidR="00FA3430">
        <w:t>.</w:t>
      </w:r>
      <w:bookmarkEnd w:id="1"/>
    </w:p>
    <w:p w14:paraId="5CEA3734" w14:textId="0D4987E9" w:rsidR="000E14FB" w:rsidRPr="000242F1" w:rsidRDefault="000E14FB" w:rsidP="000E14FB">
      <w:pPr>
        <w:pStyle w:val="BodyText"/>
      </w:pPr>
      <w:r w:rsidRPr="000242F1">
        <w:t xml:space="preserve">Different from LTE DC, SN change is initiated by the source SgNB, i.e., S-SgNB instead of MeNB. Therefore, Xn connectivity between MeNB and target SgNB, i.e., T-SgNB, may need to be checked based on the information provided by SgNB when the handover/change request is received by MeNB. Accordingly, source SN can include the PCI of the target cell within the inter-node RRC message.  </w:t>
      </w:r>
    </w:p>
    <w:p w14:paraId="6F497CCB" w14:textId="77777777" w:rsidR="00FF1B07" w:rsidRPr="000242F1" w:rsidRDefault="00FF1B07" w:rsidP="00FF1B07">
      <w:pPr>
        <w:pStyle w:val="Proposal"/>
        <w:tabs>
          <w:tab w:val="clear" w:pos="1701"/>
        </w:tabs>
        <w:rPr>
          <w:rFonts w:cs="Arial"/>
        </w:rPr>
      </w:pPr>
      <w:bookmarkStart w:id="2" w:name="_Toc478169897"/>
      <w:r w:rsidRPr="000242F1">
        <w:rPr>
          <w:rFonts w:cs="Arial"/>
        </w:rPr>
        <w:t>In case of secondary node change procedure source SN can include the PCI of the target cell within the inter-node RRC message.</w:t>
      </w:r>
      <w:bookmarkEnd w:id="2"/>
    </w:p>
    <w:p w14:paraId="714579D2" w14:textId="45636439" w:rsidR="00FF1B07" w:rsidRPr="000242F1" w:rsidRDefault="006946A3" w:rsidP="006946A3">
      <w:pPr>
        <w:pStyle w:val="BodyText"/>
        <w:rPr>
          <w:rFonts w:eastAsiaTheme="minorEastAsia"/>
          <w:lang w:eastAsia="fi-FI"/>
        </w:rPr>
      </w:pPr>
      <w:r w:rsidRPr="000242F1">
        <w:rPr>
          <w:rFonts w:eastAsiaTheme="minorEastAsia"/>
          <w:lang w:eastAsia="fi-FI"/>
        </w:rPr>
        <w:t xml:space="preserve">It should be possible that MN can also initiate </w:t>
      </w:r>
      <w:r w:rsidR="00804AA1" w:rsidRPr="000242F1">
        <w:rPr>
          <w:rFonts w:eastAsiaTheme="minorEastAsia"/>
          <w:lang w:eastAsia="fi-FI"/>
        </w:rPr>
        <w:t>the SN</w:t>
      </w:r>
      <w:r w:rsidRPr="000242F1">
        <w:rPr>
          <w:rFonts w:eastAsiaTheme="minorEastAsia"/>
          <w:lang w:eastAsia="fi-FI"/>
        </w:rPr>
        <w:t xml:space="preserve"> change procedure</w:t>
      </w:r>
      <w:r w:rsidR="00804AA1" w:rsidRPr="000242F1">
        <w:rPr>
          <w:rFonts w:eastAsiaTheme="minorEastAsia"/>
          <w:lang w:eastAsia="fi-FI"/>
        </w:rPr>
        <w:t>, e.g., for load balancing or other reasons, by configuring the UE with the relevant RRM measurements</w:t>
      </w:r>
      <w:r w:rsidRPr="000242F1">
        <w:rPr>
          <w:rFonts w:eastAsiaTheme="minorEastAsia"/>
          <w:lang w:eastAsia="fi-FI"/>
        </w:rPr>
        <w:t>. In this case</w:t>
      </w:r>
      <w:r w:rsidR="008A136F" w:rsidRPr="000242F1">
        <w:rPr>
          <w:rFonts w:eastAsiaTheme="minorEastAsia"/>
          <w:lang w:eastAsia="fi-FI"/>
        </w:rPr>
        <w:t>, the</w:t>
      </w:r>
      <w:r w:rsidRPr="000242F1">
        <w:rPr>
          <w:rFonts w:eastAsiaTheme="minorEastAsia"/>
          <w:lang w:eastAsia="fi-FI"/>
        </w:rPr>
        <w:t xml:space="preserve"> measurement configuration could be similar to </w:t>
      </w:r>
      <w:r w:rsidR="008A136F" w:rsidRPr="000242F1">
        <w:rPr>
          <w:rFonts w:eastAsiaTheme="minorEastAsia"/>
          <w:lang w:eastAsia="fi-FI"/>
        </w:rPr>
        <w:t>the measurement configuration</w:t>
      </w:r>
      <w:r w:rsidRPr="000242F1">
        <w:rPr>
          <w:rFonts w:eastAsiaTheme="minorEastAsia"/>
          <w:lang w:eastAsia="fi-FI"/>
        </w:rPr>
        <w:t xml:space="preserve"> </w:t>
      </w:r>
      <w:r w:rsidR="008A136F" w:rsidRPr="000242F1">
        <w:rPr>
          <w:rFonts w:eastAsiaTheme="minorEastAsia"/>
          <w:lang w:eastAsia="fi-FI"/>
        </w:rPr>
        <w:t xml:space="preserve">to be </w:t>
      </w:r>
      <w:r w:rsidRPr="000242F1">
        <w:rPr>
          <w:rFonts w:eastAsiaTheme="minorEastAsia"/>
          <w:lang w:eastAsia="fi-FI"/>
        </w:rPr>
        <w:t>used for SN addition procedure/inter-RAT handover.</w:t>
      </w:r>
      <w:r w:rsidR="008A136F" w:rsidRPr="000242F1">
        <w:rPr>
          <w:rFonts w:eastAsiaTheme="minorEastAsia"/>
          <w:lang w:eastAsia="fi-FI"/>
        </w:rPr>
        <w:t xml:space="preserve"> This particular case can be assumed to follow the LTE DC baseline </w:t>
      </w:r>
      <w:r w:rsidR="00804AA1" w:rsidRPr="000242F1">
        <w:rPr>
          <w:rFonts w:eastAsiaTheme="minorEastAsia"/>
          <w:lang w:eastAsia="fi-FI"/>
        </w:rPr>
        <w:t>SN</w:t>
      </w:r>
      <w:r w:rsidR="008A136F" w:rsidRPr="000242F1">
        <w:rPr>
          <w:rFonts w:eastAsiaTheme="minorEastAsia"/>
          <w:lang w:eastAsia="fi-FI"/>
        </w:rPr>
        <w:t xml:space="preserve"> change signalling since</w:t>
      </w:r>
      <w:r w:rsidR="00804AA1" w:rsidRPr="000242F1">
        <w:rPr>
          <w:rFonts w:eastAsiaTheme="minorEastAsia"/>
          <w:lang w:eastAsia="fi-FI"/>
        </w:rPr>
        <w:t xml:space="preserve"> no notable change is needed with respect to</w:t>
      </w:r>
      <w:r w:rsidR="008A136F" w:rsidRPr="000242F1">
        <w:rPr>
          <w:rFonts w:eastAsiaTheme="minorEastAsia"/>
          <w:lang w:eastAsia="fi-FI"/>
        </w:rPr>
        <w:t xml:space="preserve"> the RRM handling</w:t>
      </w:r>
      <w:r w:rsidR="00804AA1" w:rsidRPr="000242F1">
        <w:rPr>
          <w:rFonts w:eastAsiaTheme="minorEastAsia"/>
          <w:lang w:eastAsia="fi-FI"/>
        </w:rPr>
        <w:t xml:space="preserve"> and RRC signalling in LTE DC SN change procedure</w:t>
      </w:r>
      <w:r w:rsidR="008A136F" w:rsidRPr="000242F1">
        <w:rPr>
          <w:rFonts w:eastAsiaTheme="minorEastAsia"/>
          <w:lang w:eastAsia="fi-FI"/>
        </w:rPr>
        <w:t>.</w:t>
      </w:r>
    </w:p>
    <w:p w14:paraId="115F53B8" w14:textId="27D8E9BB" w:rsidR="00FF1B07" w:rsidRPr="000242F1" w:rsidRDefault="00F34E2D" w:rsidP="00FF1B07">
      <w:pPr>
        <w:pStyle w:val="Proposal"/>
        <w:tabs>
          <w:tab w:val="clear" w:pos="1701"/>
        </w:tabs>
        <w:rPr>
          <w:rFonts w:eastAsiaTheme="minorEastAsia" w:cs="Arial"/>
          <w:lang w:eastAsia="fi-FI"/>
        </w:rPr>
      </w:pPr>
      <w:bookmarkStart w:id="3" w:name="_Toc478169898"/>
      <w:r w:rsidRPr="000242F1">
        <w:rPr>
          <w:rFonts w:eastAsiaTheme="minorEastAsia" w:cs="Arial"/>
          <w:lang w:eastAsia="fi-FI"/>
        </w:rPr>
        <w:t>Master node</w:t>
      </w:r>
      <w:r w:rsidR="00FF1B07" w:rsidRPr="000242F1">
        <w:rPr>
          <w:rFonts w:eastAsiaTheme="minorEastAsia" w:cs="Arial"/>
          <w:lang w:eastAsia="fi-FI"/>
        </w:rPr>
        <w:t xml:space="preserve"> can also initiate secondary node change procedure.</w:t>
      </w:r>
      <w:bookmarkEnd w:id="3"/>
    </w:p>
    <w:p w14:paraId="111B7903" w14:textId="2F123326" w:rsidR="00FF1B07" w:rsidRPr="000242F1" w:rsidRDefault="00FF1B07" w:rsidP="00FF1B07">
      <w:pPr>
        <w:pStyle w:val="Proposal"/>
        <w:tabs>
          <w:tab w:val="clear" w:pos="1701"/>
        </w:tabs>
        <w:rPr>
          <w:rFonts w:eastAsiaTheme="minorEastAsia" w:cs="Arial"/>
          <w:lang w:eastAsia="fi-FI"/>
        </w:rPr>
      </w:pPr>
      <w:bookmarkStart w:id="4" w:name="_Toc478169899"/>
      <w:r w:rsidRPr="000242F1">
        <w:rPr>
          <w:rFonts w:eastAsiaTheme="minorEastAsia" w:cs="Arial"/>
          <w:lang w:eastAsia="fi-FI"/>
        </w:rPr>
        <w:t xml:space="preserve">Master node initiated secondary node change procedure follows the </w:t>
      </w:r>
      <w:r w:rsidRPr="000242F1">
        <w:rPr>
          <w:rFonts w:cs="Arial"/>
        </w:rPr>
        <w:t>LTE DC baseline secondary node change signalling</w:t>
      </w:r>
      <w:r w:rsidRPr="000242F1">
        <w:rPr>
          <w:rFonts w:eastAsiaTheme="minorEastAsia" w:cs="Arial"/>
          <w:lang w:eastAsia="fi-FI"/>
        </w:rPr>
        <w:t>.</w:t>
      </w:r>
      <w:bookmarkEnd w:id="4"/>
    </w:p>
    <w:p w14:paraId="6840F4BF" w14:textId="4578A447" w:rsidR="008A136F" w:rsidRPr="000242F1" w:rsidRDefault="008A136F" w:rsidP="008A136F">
      <w:pPr>
        <w:pStyle w:val="BodyText"/>
        <w:rPr>
          <w:rFonts w:eastAsiaTheme="minorEastAsia"/>
          <w:lang w:eastAsia="fi-FI"/>
        </w:rPr>
      </w:pPr>
      <w:r w:rsidRPr="000242F1">
        <w:rPr>
          <w:rFonts w:eastAsiaTheme="minorEastAsia"/>
          <w:lang w:eastAsia="fi-FI"/>
        </w:rPr>
        <w:t>Since the SN-initiated SN change procedure is diverging from the LTE DC baseline procedure</w:t>
      </w:r>
      <w:r w:rsidRPr="000242F1">
        <w:t xml:space="preserve"> </w:t>
      </w:r>
      <w:r w:rsidR="00FA3430">
        <w:t xml:space="preserve">, as illustrated with an example in Figure 1, </w:t>
      </w:r>
      <w:r w:rsidRPr="000242F1">
        <w:t xml:space="preserve">RAN3 should be consulted for the possible changes and impact for the </w:t>
      </w:r>
      <w:r w:rsidR="00804AA1" w:rsidRPr="000242F1">
        <w:t>SN-initiated case</w:t>
      </w:r>
      <w:r w:rsidRPr="000242F1">
        <w:t>.</w:t>
      </w:r>
      <w:r w:rsidR="00B76823">
        <w:t xml:space="preserve"> For this </w:t>
      </w:r>
      <w:r w:rsidR="00FA3430">
        <w:t>purpose,</w:t>
      </w:r>
      <w:r w:rsidR="00B76823">
        <w:t xml:space="preserve"> we have created a draft LS in </w:t>
      </w:r>
      <w:r w:rsidR="00B76823">
        <w:fldChar w:fldCharType="begin"/>
      </w:r>
      <w:r w:rsidR="00B76823">
        <w:instrText xml:space="preserve"> REF _Ref478065383 \n \h </w:instrText>
      </w:r>
      <w:r w:rsidR="00B76823">
        <w:fldChar w:fldCharType="separate"/>
      </w:r>
      <w:r w:rsidR="00B76823">
        <w:t>[2]</w:t>
      </w:r>
      <w:r w:rsidR="00B76823">
        <w:fldChar w:fldCharType="end"/>
      </w:r>
      <w:r w:rsidR="00B76823">
        <w:t>.</w:t>
      </w:r>
    </w:p>
    <w:p w14:paraId="61297333" w14:textId="77777777" w:rsidR="00FF1B07" w:rsidRPr="000242F1" w:rsidRDefault="00FF1B07" w:rsidP="00FF1B07">
      <w:pPr>
        <w:pStyle w:val="Proposal"/>
        <w:tabs>
          <w:tab w:val="clear" w:pos="1701"/>
        </w:tabs>
        <w:rPr>
          <w:rFonts w:eastAsiaTheme="minorEastAsia" w:cs="Arial"/>
          <w:lang w:eastAsia="fi-FI"/>
        </w:rPr>
      </w:pPr>
      <w:bookmarkStart w:id="5" w:name="_Toc478169900"/>
      <w:r w:rsidRPr="000242F1">
        <w:rPr>
          <w:rFonts w:cs="Arial"/>
        </w:rPr>
        <w:t>RAN3 should be consulted for the possible changes in case of the secondary node initiated secondary node change procedure as it implies changes to the LTE DC baseline secondary node change mechanism.</w:t>
      </w:r>
      <w:bookmarkEnd w:id="5"/>
    </w:p>
    <w:p w14:paraId="47C71E05" w14:textId="77777777" w:rsidR="00A90B61" w:rsidRPr="000242F1" w:rsidRDefault="00A90B61" w:rsidP="00A90B61">
      <w:pPr>
        <w:pStyle w:val="TOC1"/>
        <w:rPr>
          <w:b w:val="0"/>
          <w:lang w:val="en-GB"/>
        </w:rPr>
      </w:pPr>
    </w:p>
    <w:p w14:paraId="3CD771DF" w14:textId="77777777" w:rsidR="00A90B61" w:rsidRPr="000242F1" w:rsidRDefault="00A90B61" w:rsidP="00A90B61">
      <w:pPr>
        <w:pStyle w:val="TH"/>
        <w:rPr>
          <w:lang w:eastAsia="ja-JP"/>
        </w:rPr>
      </w:pPr>
      <w:r w:rsidRPr="000242F1">
        <w:rPr>
          <w:noProof/>
          <w:lang w:val="fi-FI" w:eastAsia="fi-FI"/>
        </w:rPr>
        <w:drawing>
          <wp:inline distT="0" distB="0" distL="0" distR="0" wp14:anchorId="5E12D35A" wp14:editId="13431B0F">
            <wp:extent cx="5943600" cy="3458210"/>
            <wp:effectExtent l="0" t="0" r="0" b="889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5943600" cy="3458210"/>
                    </a:xfrm>
                    <a:prstGeom prst="rect">
                      <a:avLst/>
                    </a:prstGeom>
                  </pic:spPr>
                </pic:pic>
              </a:graphicData>
            </a:graphic>
          </wp:inline>
        </w:drawing>
      </w:r>
    </w:p>
    <w:p w14:paraId="30383980" w14:textId="60D0E1C2" w:rsidR="00A90B61" w:rsidRPr="000242F1" w:rsidRDefault="00A90B61" w:rsidP="00A90B61">
      <w:pPr>
        <w:pStyle w:val="TF"/>
        <w:rPr>
          <w:lang w:eastAsia="ja-JP"/>
        </w:rPr>
      </w:pPr>
      <w:r w:rsidRPr="000242F1">
        <w:rPr>
          <w:lang w:eastAsia="ja-JP"/>
        </w:rPr>
        <w:t xml:space="preserve">Figure </w:t>
      </w:r>
      <w:r w:rsidR="00FA3430">
        <w:rPr>
          <w:lang w:eastAsia="ja-JP"/>
        </w:rPr>
        <w:t>1</w:t>
      </w:r>
      <w:r w:rsidRPr="000242F1">
        <w:rPr>
          <w:lang w:eastAsia="ja-JP"/>
        </w:rPr>
        <w:t xml:space="preserve">: </w:t>
      </w:r>
      <w:r w:rsidR="00C16DE5" w:rsidRPr="000242F1">
        <w:rPr>
          <w:lang w:eastAsia="ja-JP"/>
        </w:rPr>
        <w:t xml:space="preserve">SN initiated SN change procedure </w:t>
      </w:r>
      <w:r w:rsidRPr="000242F1">
        <w:rPr>
          <w:lang w:eastAsia="ja-JP"/>
        </w:rPr>
        <w:t>in case of LTE-NR interworking</w:t>
      </w:r>
      <w:r w:rsidR="000242F1">
        <w:rPr>
          <w:lang w:eastAsia="ja-JP"/>
        </w:rPr>
        <w:t xml:space="preserve"> (assuming MCG SRB for RRC transport)</w:t>
      </w:r>
    </w:p>
    <w:p w14:paraId="522CD7E3" w14:textId="77777777" w:rsidR="00C01F33" w:rsidRPr="000242F1" w:rsidRDefault="00C01F33" w:rsidP="00CE0424">
      <w:pPr>
        <w:pStyle w:val="Heading1"/>
      </w:pPr>
      <w:r w:rsidRPr="000242F1">
        <w:t>Conclusion</w:t>
      </w:r>
    </w:p>
    <w:p w14:paraId="09E70961" w14:textId="77777777" w:rsidR="004B783D" w:rsidRPr="000242F1" w:rsidRDefault="004B783D" w:rsidP="004B783D">
      <w:pPr>
        <w:pStyle w:val="BodyText"/>
      </w:pPr>
      <w:r w:rsidRPr="000242F1">
        <w:t>Based on the discussion in section 2, we have the following proposals:</w:t>
      </w:r>
    </w:p>
    <w:p w14:paraId="774662A6" w14:textId="77777777" w:rsidR="00193AD1" w:rsidRDefault="004B783D">
      <w:pPr>
        <w:pStyle w:val="TOC1"/>
        <w:rPr>
          <w:rFonts w:asciiTheme="minorHAnsi" w:eastAsiaTheme="minorEastAsia" w:hAnsiTheme="minorHAnsi" w:cstheme="minorBidi"/>
          <w:b w:val="0"/>
          <w:sz w:val="22"/>
          <w:lang w:val="fi-FI" w:eastAsia="fi-FI"/>
        </w:rPr>
      </w:pPr>
      <w:r w:rsidRPr="000242F1">
        <w:rPr>
          <w:b w:val="0"/>
        </w:rPr>
        <w:fldChar w:fldCharType="begin"/>
      </w:r>
      <w:r w:rsidRPr="000242F1">
        <w:instrText xml:space="preserve"> TOC \f \n \p " " \t "Proposal;1" </w:instrText>
      </w:r>
      <w:r w:rsidRPr="000242F1">
        <w:rPr>
          <w:b w:val="0"/>
        </w:rPr>
        <w:fldChar w:fldCharType="separate"/>
      </w:r>
      <w:r w:rsidR="00193AD1" w:rsidRPr="00BA2A8E">
        <w:rPr>
          <w:rFonts w:cs="Arial"/>
        </w:rPr>
        <w:t>Proposal 1</w:t>
      </w:r>
      <w:r w:rsidR="00193AD1">
        <w:rPr>
          <w:rFonts w:asciiTheme="minorHAnsi" w:eastAsiaTheme="minorEastAsia" w:hAnsiTheme="minorHAnsi" w:cstheme="minorBidi"/>
          <w:b w:val="0"/>
          <w:sz w:val="22"/>
          <w:lang w:val="fi-FI" w:eastAsia="fi-FI"/>
        </w:rPr>
        <w:tab/>
      </w:r>
      <w:r w:rsidR="00193AD1" w:rsidRPr="00BA2A8E">
        <w:rPr>
          <w:rFonts w:cs="Arial"/>
        </w:rPr>
        <w:t>M</w:t>
      </w:r>
      <w:r w:rsidR="00193AD1">
        <w:t>easurement reports can be sent either via MCG or SCG bearer. In the first case they are then transferred to the SeNB. Finally, SN triggers SN change based on the measurements.</w:t>
      </w:r>
    </w:p>
    <w:p w14:paraId="624372DD" w14:textId="77777777" w:rsidR="00193AD1" w:rsidRDefault="00193AD1">
      <w:pPr>
        <w:pStyle w:val="TOC1"/>
        <w:rPr>
          <w:rFonts w:asciiTheme="minorHAnsi" w:eastAsiaTheme="minorEastAsia" w:hAnsiTheme="minorHAnsi" w:cstheme="minorBidi"/>
          <w:b w:val="0"/>
          <w:sz w:val="22"/>
          <w:lang w:val="fi-FI" w:eastAsia="fi-FI"/>
        </w:rPr>
      </w:pPr>
      <w:r w:rsidRPr="00BA2A8E">
        <w:rPr>
          <w:rFonts w:cs="Arial"/>
        </w:rPr>
        <w:t>Proposal 2</w:t>
      </w:r>
      <w:r>
        <w:rPr>
          <w:rFonts w:asciiTheme="minorHAnsi" w:eastAsiaTheme="minorEastAsia" w:hAnsiTheme="minorHAnsi" w:cstheme="minorBidi"/>
          <w:b w:val="0"/>
          <w:sz w:val="22"/>
          <w:lang w:val="fi-FI" w:eastAsia="fi-FI"/>
        </w:rPr>
        <w:tab/>
      </w:r>
      <w:r w:rsidRPr="00BA2A8E">
        <w:rPr>
          <w:rFonts w:cs="Arial"/>
        </w:rPr>
        <w:t>In case of secondary node change procedure source SN can include the PCI of the target cell within the inter-node RRC message.</w:t>
      </w:r>
    </w:p>
    <w:p w14:paraId="509A6C2A" w14:textId="77777777" w:rsidR="00193AD1" w:rsidRDefault="00193AD1">
      <w:pPr>
        <w:pStyle w:val="TOC1"/>
        <w:rPr>
          <w:rFonts w:asciiTheme="minorHAnsi" w:eastAsiaTheme="minorEastAsia" w:hAnsiTheme="minorHAnsi" w:cstheme="minorBidi"/>
          <w:b w:val="0"/>
          <w:sz w:val="22"/>
          <w:lang w:val="fi-FI" w:eastAsia="fi-FI"/>
        </w:rPr>
      </w:pPr>
      <w:r w:rsidRPr="00BA2A8E">
        <w:rPr>
          <w:rFonts w:eastAsiaTheme="minorEastAsia" w:cs="Arial"/>
          <w:lang w:eastAsia="fi-FI"/>
        </w:rPr>
        <w:t>Proposal 3</w:t>
      </w:r>
      <w:r>
        <w:rPr>
          <w:rFonts w:asciiTheme="minorHAnsi" w:eastAsiaTheme="minorEastAsia" w:hAnsiTheme="minorHAnsi" w:cstheme="minorBidi"/>
          <w:b w:val="0"/>
          <w:sz w:val="22"/>
          <w:lang w:val="fi-FI" w:eastAsia="fi-FI"/>
        </w:rPr>
        <w:tab/>
      </w:r>
      <w:r w:rsidRPr="00BA2A8E">
        <w:rPr>
          <w:rFonts w:eastAsiaTheme="minorEastAsia" w:cs="Arial"/>
          <w:lang w:eastAsia="fi-FI"/>
        </w:rPr>
        <w:t>Master node can also initiate secondary node change procedure.</w:t>
      </w:r>
    </w:p>
    <w:p w14:paraId="4F3465F7" w14:textId="77777777" w:rsidR="00193AD1" w:rsidRDefault="00193AD1">
      <w:pPr>
        <w:pStyle w:val="TOC1"/>
        <w:rPr>
          <w:rFonts w:asciiTheme="minorHAnsi" w:eastAsiaTheme="minorEastAsia" w:hAnsiTheme="minorHAnsi" w:cstheme="minorBidi"/>
          <w:b w:val="0"/>
          <w:sz w:val="22"/>
          <w:lang w:val="fi-FI" w:eastAsia="fi-FI"/>
        </w:rPr>
      </w:pPr>
      <w:r w:rsidRPr="00BA2A8E">
        <w:rPr>
          <w:rFonts w:eastAsiaTheme="minorEastAsia" w:cs="Arial"/>
          <w:lang w:eastAsia="fi-FI"/>
        </w:rPr>
        <w:t>Proposal 4</w:t>
      </w:r>
      <w:r>
        <w:rPr>
          <w:rFonts w:asciiTheme="minorHAnsi" w:eastAsiaTheme="minorEastAsia" w:hAnsiTheme="minorHAnsi" w:cstheme="minorBidi"/>
          <w:b w:val="0"/>
          <w:sz w:val="22"/>
          <w:lang w:val="fi-FI" w:eastAsia="fi-FI"/>
        </w:rPr>
        <w:tab/>
      </w:r>
      <w:r w:rsidRPr="00BA2A8E">
        <w:rPr>
          <w:rFonts w:eastAsiaTheme="minorEastAsia" w:cs="Arial"/>
          <w:lang w:eastAsia="fi-FI"/>
        </w:rPr>
        <w:t xml:space="preserve">Master node initiated secondary node change procedure follows the </w:t>
      </w:r>
      <w:r w:rsidRPr="00BA2A8E">
        <w:rPr>
          <w:rFonts w:cs="Arial"/>
        </w:rPr>
        <w:t>LTE DC baseline secondary node change signalling</w:t>
      </w:r>
      <w:r w:rsidRPr="00BA2A8E">
        <w:rPr>
          <w:rFonts w:eastAsiaTheme="minorEastAsia" w:cs="Arial"/>
          <w:lang w:eastAsia="fi-FI"/>
        </w:rPr>
        <w:t>.</w:t>
      </w:r>
    </w:p>
    <w:p w14:paraId="2838A559" w14:textId="77777777" w:rsidR="00193AD1" w:rsidRDefault="00193AD1">
      <w:pPr>
        <w:pStyle w:val="TOC1"/>
        <w:rPr>
          <w:rFonts w:asciiTheme="minorHAnsi" w:eastAsiaTheme="minorEastAsia" w:hAnsiTheme="minorHAnsi" w:cstheme="minorBidi"/>
          <w:b w:val="0"/>
          <w:sz w:val="22"/>
          <w:lang w:val="fi-FI" w:eastAsia="fi-FI"/>
        </w:rPr>
      </w:pPr>
      <w:r w:rsidRPr="00BA2A8E">
        <w:rPr>
          <w:rFonts w:eastAsiaTheme="minorEastAsia" w:cs="Arial"/>
          <w:lang w:eastAsia="fi-FI"/>
        </w:rPr>
        <w:t>Proposal 5</w:t>
      </w:r>
      <w:r>
        <w:rPr>
          <w:rFonts w:asciiTheme="minorHAnsi" w:eastAsiaTheme="minorEastAsia" w:hAnsiTheme="minorHAnsi" w:cstheme="minorBidi"/>
          <w:b w:val="0"/>
          <w:sz w:val="22"/>
          <w:lang w:val="fi-FI" w:eastAsia="fi-FI"/>
        </w:rPr>
        <w:tab/>
      </w:r>
      <w:r w:rsidRPr="00BA2A8E">
        <w:rPr>
          <w:rFonts w:cs="Arial"/>
        </w:rPr>
        <w:t>RAN3 should be consulted for the possible changes in case of the secondary node initiated secondary node change procedure as it implies changes to the LTE DC baseline secondary node change mechanism.</w:t>
      </w:r>
    </w:p>
    <w:p w14:paraId="562E5449" w14:textId="6FF724A9" w:rsidR="004B783D" w:rsidRPr="000242F1" w:rsidRDefault="004B783D" w:rsidP="004B783D">
      <w:pPr>
        <w:pStyle w:val="TOC1"/>
        <w:rPr>
          <w:lang w:val="en-GB"/>
        </w:rPr>
      </w:pPr>
      <w:r w:rsidRPr="000242F1">
        <w:rPr>
          <w:b w:val="0"/>
        </w:rPr>
        <w:fldChar w:fldCharType="end"/>
      </w:r>
    </w:p>
    <w:p w14:paraId="3CA94326" w14:textId="77777777" w:rsidR="004B783D" w:rsidRPr="000242F1" w:rsidRDefault="004B783D" w:rsidP="004B783D">
      <w:pPr>
        <w:pStyle w:val="BodyText"/>
        <w:rPr>
          <w:b/>
          <w:bCs/>
        </w:rPr>
      </w:pPr>
    </w:p>
    <w:p w14:paraId="0B366EDE" w14:textId="77777777" w:rsidR="00F507D1" w:rsidRPr="000242F1" w:rsidRDefault="00F507D1" w:rsidP="00CE0424">
      <w:pPr>
        <w:pStyle w:val="Heading1"/>
      </w:pPr>
      <w:bookmarkStart w:id="6" w:name="_In-sequence_SDU_delivery"/>
      <w:bookmarkEnd w:id="6"/>
      <w:r w:rsidRPr="000242F1">
        <w:t>References</w:t>
      </w:r>
      <w:bookmarkStart w:id="7" w:name="_GoBack"/>
      <w:bookmarkEnd w:id="7"/>
    </w:p>
    <w:p w14:paraId="7B2CB788" w14:textId="02ABD0F4" w:rsidR="004B783D" w:rsidRDefault="004B783D" w:rsidP="004B783D">
      <w:pPr>
        <w:pStyle w:val="Reference"/>
        <w:numPr>
          <w:ilvl w:val="0"/>
          <w:numId w:val="20"/>
        </w:numPr>
        <w:textAlignment w:val="auto"/>
      </w:pPr>
      <w:bookmarkStart w:id="8" w:name="_Ref446579153"/>
      <w:bookmarkStart w:id="9" w:name="_Ref462960254"/>
      <w:r w:rsidRPr="000242F1">
        <w:t xml:space="preserve">3GPP TS 36.300, </w:t>
      </w:r>
      <w:bookmarkEnd w:id="8"/>
      <w:r w:rsidRPr="000242F1">
        <w:t>3rd Generation Partnership Project; Technical Specification Group Radio Access Network; Evolved Universal Terrestrial Radio Access (E-UTRA) and Evolved Universal Terrestrial Radio Access Network.</w:t>
      </w:r>
      <w:bookmarkEnd w:id="9"/>
      <w:r w:rsidRPr="000242F1">
        <w:t xml:space="preserve"> </w:t>
      </w:r>
    </w:p>
    <w:p w14:paraId="147BE487" w14:textId="2C2CD140" w:rsidR="00B76823" w:rsidRPr="000242F1" w:rsidRDefault="00B76823" w:rsidP="00B76823">
      <w:pPr>
        <w:pStyle w:val="Reference"/>
        <w:numPr>
          <w:ilvl w:val="0"/>
          <w:numId w:val="20"/>
        </w:numPr>
        <w:textAlignment w:val="auto"/>
      </w:pPr>
      <w:bookmarkStart w:id="10" w:name="_Ref478065383"/>
      <w:r>
        <w:t xml:space="preserve">R2-1702702, </w:t>
      </w:r>
      <w:r w:rsidRPr="00B76823">
        <w:t>Draft LS to RAN3 on Secondary node change procedure</w:t>
      </w:r>
      <w:r>
        <w:t>, Ericsson</w:t>
      </w:r>
      <w:bookmarkEnd w:id="10"/>
      <w:r w:rsidR="00FA3430">
        <w:t>.</w:t>
      </w:r>
    </w:p>
    <w:p w14:paraId="0260081F"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96ECC" w14:textId="77777777" w:rsidR="00A00FDB" w:rsidRDefault="00A00FDB">
      <w:r>
        <w:separator/>
      </w:r>
    </w:p>
  </w:endnote>
  <w:endnote w:type="continuationSeparator" w:id="0">
    <w:p w14:paraId="369BC6B7" w14:textId="77777777" w:rsidR="00A00FDB" w:rsidRDefault="00A00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596FD6A9" w:rsidR="00A00FDB" w:rsidRDefault="00A00F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93AD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3AD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F489C" w14:textId="77777777" w:rsidR="00A00FDB" w:rsidRDefault="00A00FDB">
      <w:r>
        <w:separator/>
      </w:r>
    </w:p>
  </w:footnote>
  <w:footnote w:type="continuationSeparator" w:id="0">
    <w:p w14:paraId="60E7E941" w14:textId="77777777" w:rsidR="00A00FDB" w:rsidRDefault="00A00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A00FDB" w:rsidRDefault="00A00F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8"/>
    <w:lvlOverride w:ilvl="0">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242F1"/>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4FB"/>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3AD1"/>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1474"/>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FE3"/>
    <w:rsid w:val="003203ED"/>
    <w:rsid w:val="00322C9F"/>
    <w:rsid w:val="00324D23"/>
    <w:rsid w:val="00331751"/>
    <w:rsid w:val="00334579"/>
    <w:rsid w:val="00335858"/>
    <w:rsid w:val="00336BDA"/>
    <w:rsid w:val="00342BD7"/>
    <w:rsid w:val="00343A07"/>
    <w:rsid w:val="00346DB5"/>
    <w:rsid w:val="003477B1"/>
    <w:rsid w:val="003557D1"/>
    <w:rsid w:val="00357380"/>
    <w:rsid w:val="003602D9"/>
    <w:rsid w:val="003604CE"/>
    <w:rsid w:val="00370E47"/>
    <w:rsid w:val="003742AC"/>
    <w:rsid w:val="00376AA8"/>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08EE"/>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978F4"/>
    <w:rsid w:val="004A16BC"/>
    <w:rsid w:val="004A2B94"/>
    <w:rsid w:val="004B783D"/>
    <w:rsid w:val="004B7C0C"/>
    <w:rsid w:val="004C3898"/>
    <w:rsid w:val="004D36B1"/>
    <w:rsid w:val="004D7EBD"/>
    <w:rsid w:val="004E0D1A"/>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6A3"/>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133F"/>
    <w:rsid w:val="007348B1"/>
    <w:rsid w:val="007362A6"/>
    <w:rsid w:val="00736D7D"/>
    <w:rsid w:val="00740E58"/>
    <w:rsid w:val="007445A0"/>
    <w:rsid w:val="00745173"/>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AA1"/>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136F"/>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3AE5"/>
    <w:rsid w:val="009E47A3"/>
    <w:rsid w:val="009F08F3"/>
    <w:rsid w:val="009F344F"/>
    <w:rsid w:val="00A00FDB"/>
    <w:rsid w:val="00A048A8"/>
    <w:rsid w:val="00A04F49"/>
    <w:rsid w:val="00A13E54"/>
    <w:rsid w:val="00A17F63"/>
    <w:rsid w:val="00A2193B"/>
    <w:rsid w:val="00A2351A"/>
    <w:rsid w:val="00A264A9"/>
    <w:rsid w:val="00A27785"/>
    <w:rsid w:val="00A30187"/>
    <w:rsid w:val="00A3448A"/>
    <w:rsid w:val="00A36297"/>
    <w:rsid w:val="00A37448"/>
    <w:rsid w:val="00A41E2B"/>
    <w:rsid w:val="00A45B74"/>
    <w:rsid w:val="00A52214"/>
    <w:rsid w:val="00A52E1D"/>
    <w:rsid w:val="00A61499"/>
    <w:rsid w:val="00A62A77"/>
    <w:rsid w:val="00A63483"/>
    <w:rsid w:val="00A657D7"/>
    <w:rsid w:val="00A660AC"/>
    <w:rsid w:val="00A67E6C"/>
    <w:rsid w:val="00A71B99"/>
    <w:rsid w:val="00A739D0"/>
    <w:rsid w:val="00A761D4"/>
    <w:rsid w:val="00A77EC4"/>
    <w:rsid w:val="00A90B6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CA5"/>
    <w:rsid w:val="00B02FA3"/>
    <w:rsid w:val="00B05084"/>
    <w:rsid w:val="00B157F9"/>
    <w:rsid w:val="00B20256"/>
    <w:rsid w:val="00B20D09"/>
    <w:rsid w:val="00B2763F"/>
    <w:rsid w:val="00B27AAC"/>
    <w:rsid w:val="00B30929"/>
    <w:rsid w:val="00B32700"/>
    <w:rsid w:val="00B372AA"/>
    <w:rsid w:val="00B40445"/>
    <w:rsid w:val="00B41888"/>
    <w:rsid w:val="00B45A52"/>
    <w:rsid w:val="00B46175"/>
    <w:rsid w:val="00B6188F"/>
    <w:rsid w:val="00B664C7"/>
    <w:rsid w:val="00B739F6"/>
    <w:rsid w:val="00B76823"/>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DE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5D4"/>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11C"/>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E2D"/>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56D"/>
    <w:rsid w:val="00F868F5"/>
    <w:rsid w:val="00F9056A"/>
    <w:rsid w:val="00F90F8D"/>
    <w:rsid w:val="00F92782"/>
    <w:rsid w:val="00F93AA9"/>
    <w:rsid w:val="00F96985"/>
    <w:rsid w:val="00F97838"/>
    <w:rsid w:val="00FA2BB3"/>
    <w:rsid w:val="00FA3430"/>
    <w:rsid w:val="00FA38D1"/>
    <w:rsid w:val="00FB4C80"/>
    <w:rsid w:val="00FB6A6A"/>
    <w:rsid w:val="00FC7429"/>
    <w:rsid w:val="00FD07F6"/>
    <w:rsid w:val="00FD1EC8"/>
    <w:rsid w:val="00FD47ED"/>
    <w:rsid w:val="00FD74DB"/>
    <w:rsid w:val="00FD7660"/>
    <w:rsid w:val="00FE0655"/>
    <w:rsid w:val="00FE2365"/>
    <w:rsid w:val="00FE4C7B"/>
    <w:rsid w:val="00FE7336"/>
    <w:rsid w:val="00FE787C"/>
    <w:rsid w:val="00FF1B0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docId w15:val="{B520CE48-ABD3-41D4-A431-9C92FB0B9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A38D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A38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A38D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A38D1"/>
    <w:pPr>
      <w:numPr>
        <w:ilvl w:val="2"/>
      </w:numPr>
      <w:spacing w:before="120"/>
      <w:outlineLvl w:val="2"/>
    </w:pPr>
    <w:rPr>
      <w:sz w:val="28"/>
      <w:szCs w:val="28"/>
    </w:rPr>
  </w:style>
  <w:style w:type="paragraph" w:styleId="Heading4">
    <w:name w:val="heading 4"/>
    <w:basedOn w:val="Heading3"/>
    <w:next w:val="Normal"/>
    <w:qFormat/>
    <w:rsid w:val="00FA38D1"/>
    <w:pPr>
      <w:numPr>
        <w:ilvl w:val="3"/>
      </w:numPr>
      <w:outlineLvl w:val="3"/>
    </w:pPr>
    <w:rPr>
      <w:sz w:val="24"/>
      <w:szCs w:val="24"/>
    </w:rPr>
  </w:style>
  <w:style w:type="paragraph" w:styleId="Heading5">
    <w:name w:val="heading 5"/>
    <w:basedOn w:val="Heading4"/>
    <w:next w:val="Normal"/>
    <w:qFormat/>
    <w:rsid w:val="00FA38D1"/>
    <w:pPr>
      <w:numPr>
        <w:ilvl w:val="4"/>
      </w:numPr>
      <w:outlineLvl w:val="4"/>
    </w:pPr>
    <w:rPr>
      <w:sz w:val="22"/>
      <w:szCs w:val="22"/>
    </w:rPr>
  </w:style>
  <w:style w:type="paragraph" w:styleId="Heading6">
    <w:name w:val="heading 6"/>
    <w:basedOn w:val="Normal"/>
    <w:next w:val="Normal"/>
    <w:qFormat/>
    <w:rsid w:val="00FA38D1"/>
    <w:pPr>
      <w:keepNext/>
      <w:keepLines/>
      <w:numPr>
        <w:ilvl w:val="5"/>
        <w:numId w:val="1"/>
      </w:numPr>
      <w:spacing w:before="120"/>
      <w:outlineLvl w:val="5"/>
    </w:pPr>
    <w:rPr>
      <w:rFonts w:cs="Arial"/>
    </w:rPr>
  </w:style>
  <w:style w:type="paragraph" w:styleId="Heading7">
    <w:name w:val="heading 7"/>
    <w:basedOn w:val="Normal"/>
    <w:next w:val="Normal"/>
    <w:qFormat/>
    <w:rsid w:val="00FA38D1"/>
    <w:pPr>
      <w:keepNext/>
      <w:keepLines/>
      <w:numPr>
        <w:ilvl w:val="6"/>
        <w:numId w:val="1"/>
      </w:numPr>
      <w:spacing w:before="120"/>
      <w:outlineLvl w:val="6"/>
    </w:pPr>
    <w:rPr>
      <w:rFonts w:cs="Arial"/>
    </w:rPr>
  </w:style>
  <w:style w:type="paragraph" w:styleId="Heading8">
    <w:name w:val="heading 8"/>
    <w:basedOn w:val="Heading7"/>
    <w:next w:val="Normal"/>
    <w:qFormat/>
    <w:rsid w:val="00FA38D1"/>
    <w:pPr>
      <w:numPr>
        <w:ilvl w:val="7"/>
      </w:numPr>
      <w:outlineLvl w:val="7"/>
    </w:pPr>
  </w:style>
  <w:style w:type="paragraph" w:styleId="Heading9">
    <w:name w:val="heading 9"/>
    <w:basedOn w:val="Heading8"/>
    <w:next w:val="Normal"/>
    <w:qFormat/>
    <w:rsid w:val="00FA38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38D1"/>
    <w:pPr>
      <w:spacing w:before="180"/>
      <w:ind w:left="2693" w:hanging="2693"/>
    </w:pPr>
    <w:rPr>
      <w:b w:val="0"/>
      <w:bCs/>
    </w:rPr>
  </w:style>
  <w:style w:type="paragraph" w:styleId="TOC1">
    <w:name w:val="toc 1"/>
    <w:aliases w:val="Observation TOC2"/>
    <w:uiPriority w:val="39"/>
    <w:rsid w:val="00FA38D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A38D1"/>
    <w:pPr>
      <w:keepNext/>
      <w:keepLines/>
      <w:spacing w:before="180"/>
      <w:jc w:val="center"/>
    </w:pPr>
  </w:style>
  <w:style w:type="paragraph" w:styleId="Caption">
    <w:name w:val="caption"/>
    <w:basedOn w:val="Normal"/>
    <w:next w:val="Normal"/>
    <w:qFormat/>
    <w:rsid w:val="00FA38D1"/>
    <w:pPr>
      <w:spacing w:after="240"/>
      <w:jc w:val="center"/>
    </w:pPr>
    <w:rPr>
      <w:b/>
      <w:bCs/>
    </w:rPr>
  </w:style>
  <w:style w:type="paragraph" w:styleId="TOC5">
    <w:name w:val="toc 5"/>
    <w:aliases w:val="Observation TOC"/>
    <w:basedOn w:val="TOC4"/>
    <w:semiHidden/>
    <w:rsid w:val="00FA38D1"/>
    <w:pPr>
      <w:tabs>
        <w:tab w:val="right" w:pos="1701"/>
      </w:tabs>
      <w:ind w:left="1701" w:hanging="1701"/>
    </w:pPr>
  </w:style>
  <w:style w:type="paragraph" w:styleId="TOC4">
    <w:name w:val="toc 4"/>
    <w:basedOn w:val="TOC3"/>
    <w:semiHidden/>
    <w:rsid w:val="00FA38D1"/>
    <w:pPr>
      <w:ind w:left="1418" w:hanging="1418"/>
    </w:pPr>
  </w:style>
  <w:style w:type="paragraph" w:styleId="TOC3">
    <w:name w:val="toc 3"/>
    <w:basedOn w:val="TOC2"/>
    <w:semiHidden/>
    <w:rsid w:val="00FA38D1"/>
    <w:pPr>
      <w:ind w:left="1134" w:hanging="1134"/>
    </w:pPr>
  </w:style>
  <w:style w:type="paragraph" w:styleId="TOC2">
    <w:name w:val="toc 2"/>
    <w:basedOn w:val="TOC1"/>
    <w:semiHidden/>
    <w:rsid w:val="00FA38D1"/>
    <w:pPr>
      <w:keepNext w:val="0"/>
      <w:spacing w:before="0"/>
      <w:ind w:left="851" w:hanging="851"/>
    </w:pPr>
    <w:rPr>
      <w:szCs w:val="20"/>
    </w:rPr>
  </w:style>
  <w:style w:type="paragraph" w:styleId="Index2">
    <w:name w:val="index 2"/>
    <w:basedOn w:val="Index1"/>
    <w:semiHidden/>
    <w:rsid w:val="00FA38D1"/>
    <w:pPr>
      <w:ind w:left="284"/>
    </w:pPr>
  </w:style>
  <w:style w:type="paragraph" w:styleId="Index1">
    <w:name w:val="index 1"/>
    <w:basedOn w:val="Normal"/>
    <w:semiHidden/>
    <w:rsid w:val="00FA38D1"/>
    <w:pPr>
      <w:keepLines/>
      <w:spacing w:after="0"/>
    </w:pPr>
  </w:style>
  <w:style w:type="paragraph" w:styleId="DocumentMap">
    <w:name w:val="Document Map"/>
    <w:basedOn w:val="Normal"/>
    <w:semiHidden/>
    <w:rsid w:val="00FA38D1"/>
    <w:pPr>
      <w:shd w:val="clear" w:color="auto" w:fill="000080"/>
    </w:pPr>
    <w:rPr>
      <w:rFonts w:ascii="Tahoma" w:hAnsi="Tahoma" w:cs="Tahoma"/>
    </w:rPr>
  </w:style>
  <w:style w:type="paragraph" w:styleId="ListNumber2">
    <w:name w:val="List Number 2"/>
    <w:basedOn w:val="ListNumber"/>
    <w:rsid w:val="00FA38D1"/>
    <w:pPr>
      <w:ind w:left="851"/>
    </w:pPr>
  </w:style>
  <w:style w:type="paragraph" w:styleId="ListNumber">
    <w:name w:val="List Number"/>
    <w:basedOn w:val="List"/>
    <w:rsid w:val="00FA38D1"/>
  </w:style>
  <w:style w:type="paragraph" w:styleId="List">
    <w:name w:val="List"/>
    <w:basedOn w:val="Normal"/>
    <w:rsid w:val="00FA38D1"/>
    <w:pPr>
      <w:ind w:left="568" w:hanging="284"/>
    </w:pPr>
  </w:style>
  <w:style w:type="paragraph" w:styleId="Header">
    <w:name w:val="header"/>
    <w:rsid w:val="00FA38D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A38D1"/>
    <w:rPr>
      <w:b/>
      <w:bCs/>
      <w:position w:val="6"/>
      <w:sz w:val="16"/>
      <w:szCs w:val="16"/>
    </w:rPr>
  </w:style>
  <w:style w:type="paragraph" w:styleId="FootnoteText">
    <w:name w:val="footnote text"/>
    <w:basedOn w:val="Normal"/>
    <w:semiHidden/>
    <w:rsid w:val="00FA38D1"/>
    <w:pPr>
      <w:keepLines/>
      <w:spacing w:after="0"/>
      <w:ind w:left="454" w:hanging="454"/>
    </w:pPr>
    <w:rPr>
      <w:sz w:val="16"/>
      <w:szCs w:val="16"/>
    </w:rPr>
  </w:style>
  <w:style w:type="paragraph" w:customStyle="1" w:styleId="3GPPHeader">
    <w:name w:val="3GPP_Header"/>
    <w:basedOn w:val="Normal"/>
    <w:rsid w:val="00FA38D1"/>
    <w:pPr>
      <w:tabs>
        <w:tab w:val="left" w:pos="1701"/>
        <w:tab w:val="right" w:pos="9639"/>
      </w:tabs>
      <w:spacing w:after="240"/>
    </w:pPr>
    <w:rPr>
      <w:b/>
      <w:sz w:val="24"/>
    </w:rPr>
  </w:style>
  <w:style w:type="paragraph" w:styleId="TOC9">
    <w:name w:val="toc 9"/>
    <w:basedOn w:val="TOC8"/>
    <w:semiHidden/>
    <w:rsid w:val="00FA38D1"/>
    <w:pPr>
      <w:ind w:left="1418" w:hanging="1418"/>
    </w:pPr>
  </w:style>
  <w:style w:type="paragraph" w:styleId="TOC6">
    <w:name w:val="toc 6"/>
    <w:basedOn w:val="TOC5"/>
    <w:next w:val="Normal"/>
    <w:semiHidden/>
    <w:rsid w:val="00FA38D1"/>
    <w:pPr>
      <w:ind w:left="1985" w:hanging="1985"/>
    </w:pPr>
  </w:style>
  <w:style w:type="paragraph" w:styleId="TOC7">
    <w:name w:val="toc 7"/>
    <w:basedOn w:val="TOC6"/>
    <w:next w:val="Normal"/>
    <w:semiHidden/>
    <w:rsid w:val="00FA38D1"/>
    <w:pPr>
      <w:ind w:left="2268" w:hanging="2268"/>
    </w:pPr>
  </w:style>
  <w:style w:type="paragraph" w:styleId="ListBullet2">
    <w:name w:val="List Bullet 2"/>
    <w:basedOn w:val="ListBullet"/>
    <w:rsid w:val="00FA38D1"/>
    <w:pPr>
      <w:numPr>
        <w:numId w:val="6"/>
      </w:numPr>
    </w:pPr>
  </w:style>
  <w:style w:type="paragraph" w:styleId="ListBullet">
    <w:name w:val="List Bullet"/>
    <w:basedOn w:val="BodyText"/>
    <w:rsid w:val="00FA38D1"/>
    <w:pPr>
      <w:numPr>
        <w:numId w:val="5"/>
      </w:numPr>
    </w:pPr>
  </w:style>
  <w:style w:type="paragraph" w:styleId="ListBullet3">
    <w:name w:val="List Bullet 3"/>
    <w:basedOn w:val="ListBullet2"/>
    <w:rsid w:val="00FA38D1"/>
    <w:pPr>
      <w:numPr>
        <w:numId w:val="7"/>
      </w:numPr>
    </w:pPr>
  </w:style>
  <w:style w:type="paragraph" w:customStyle="1" w:styleId="EQ">
    <w:name w:val="EQ"/>
    <w:basedOn w:val="Normal"/>
    <w:next w:val="Normal"/>
    <w:rsid w:val="00FA38D1"/>
    <w:pPr>
      <w:keepLines/>
      <w:tabs>
        <w:tab w:val="center" w:pos="4536"/>
        <w:tab w:val="right" w:pos="9072"/>
      </w:tabs>
      <w:spacing w:after="180"/>
      <w:jc w:val="left"/>
    </w:pPr>
    <w:rPr>
      <w:noProof/>
      <w:lang w:eastAsia="en-US"/>
    </w:rPr>
  </w:style>
  <w:style w:type="paragraph" w:styleId="List2">
    <w:name w:val="List 2"/>
    <w:basedOn w:val="List"/>
    <w:rsid w:val="00FA38D1"/>
    <w:pPr>
      <w:ind w:left="851"/>
    </w:pPr>
  </w:style>
  <w:style w:type="paragraph" w:styleId="List3">
    <w:name w:val="List 3"/>
    <w:basedOn w:val="List2"/>
    <w:rsid w:val="00FA38D1"/>
    <w:pPr>
      <w:ind w:left="1135"/>
    </w:pPr>
  </w:style>
  <w:style w:type="paragraph" w:styleId="List4">
    <w:name w:val="List 4"/>
    <w:basedOn w:val="List3"/>
    <w:rsid w:val="00FA38D1"/>
    <w:pPr>
      <w:ind w:left="1418"/>
    </w:pPr>
  </w:style>
  <w:style w:type="paragraph" w:styleId="List5">
    <w:name w:val="List 5"/>
    <w:basedOn w:val="List4"/>
    <w:rsid w:val="00FA38D1"/>
    <w:pPr>
      <w:ind w:left="1702"/>
    </w:pPr>
  </w:style>
  <w:style w:type="paragraph" w:customStyle="1" w:styleId="EditorsNote">
    <w:name w:val="Editor's Note"/>
    <w:basedOn w:val="Normal"/>
    <w:rsid w:val="00FA38D1"/>
    <w:pPr>
      <w:keepLines/>
      <w:spacing w:after="180"/>
      <w:ind w:left="1135" w:hanging="851"/>
      <w:jc w:val="left"/>
    </w:pPr>
    <w:rPr>
      <w:color w:val="FF0000"/>
      <w:lang w:eastAsia="en-US"/>
    </w:rPr>
  </w:style>
  <w:style w:type="paragraph" w:styleId="ListBullet4">
    <w:name w:val="List Bullet 4"/>
    <w:basedOn w:val="ListBullet3"/>
    <w:rsid w:val="00FA38D1"/>
    <w:pPr>
      <w:numPr>
        <w:numId w:val="8"/>
      </w:numPr>
    </w:pPr>
  </w:style>
  <w:style w:type="paragraph" w:styleId="ListBullet5">
    <w:name w:val="List Bullet 5"/>
    <w:basedOn w:val="ListBullet4"/>
    <w:rsid w:val="00FA38D1"/>
    <w:pPr>
      <w:numPr>
        <w:numId w:val="4"/>
      </w:numPr>
    </w:pPr>
  </w:style>
  <w:style w:type="paragraph" w:styleId="Footer">
    <w:name w:val="footer"/>
    <w:basedOn w:val="Header"/>
    <w:semiHidden/>
    <w:rsid w:val="00FA38D1"/>
    <w:pPr>
      <w:jc w:val="center"/>
    </w:pPr>
    <w:rPr>
      <w:i/>
      <w:iCs/>
    </w:rPr>
  </w:style>
  <w:style w:type="paragraph" w:customStyle="1" w:styleId="Reference">
    <w:name w:val="Reference"/>
    <w:basedOn w:val="Normal"/>
    <w:link w:val="ReferenceChar"/>
    <w:rsid w:val="00FA38D1"/>
    <w:pPr>
      <w:numPr>
        <w:numId w:val="2"/>
      </w:numPr>
    </w:pPr>
  </w:style>
  <w:style w:type="paragraph" w:styleId="BalloonText">
    <w:name w:val="Balloon Text"/>
    <w:basedOn w:val="Normal"/>
    <w:semiHidden/>
    <w:rsid w:val="00FA38D1"/>
    <w:rPr>
      <w:rFonts w:ascii="Tahoma" w:hAnsi="Tahoma" w:cs="Tahoma"/>
      <w:sz w:val="16"/>
      <w:szCs w:val="16"/>
    </w:rPr>
  </w:style>
  <w:style w:type="character" w:styleId="PageNumber">
    <w:name w:val="page number"/>
    <w:basedOn w:val="DefaultParagraphFont"/>
    <w:semiHidden/>
    <w:rsid w:val="00FA38D1"/>
  </w:style>
  <w:style w:type="paragraph" w:styleId="BodyText">
    <w:name w:val="Body Text"/>
    <w:basedOn w:val="Normal"/>
    <w:link w:val="BodyTextChar"/>
    <w:rsid w:val="00FA38D1"/>
  </w:style>
  <w:style w:type="character" w:styleId="Hyperlink">
    <w:name w:val="Hyperlink"/>
    <w:uiPriority w:val="99"/>
    <w:rsid w:val="00FA38D1"/>
    <w:rPr>
      <w:color w:val="0000FF"/>
      <w:u w:val="single"/>
      <w:lang w:val="en-GB"/>
    </w:rPr>
  </w:style>
  <w:style w:type="character" w:styleId="FollowedHyperlink">
    <w:name w:val="FollowedHyperlink"/>
    <w:semiHidden/>
    <w:rsid w:val="00FA38D1"/>
    <w:rPr>
      <w:color w:val="FF0000"/>
      <w:u w:val="single"/>
    </w:rPr>
  </w:style>
  <w:style w:type="character" w:styleId="CommentReference">
    <w:name w:val="annotation reference"/>
    <w:semiHidden/>
    <w:rsid w:val="00FA38D1"/>
    <w:rPr>
      <w:sz w:val="16"/>
      <w:szCs w:val="16"/>
    </w:rPr>
  </w:style>
  <w:style w:type="paragraph" w:styleId="CommentText">
    <w:name w:val="annotation text"/>
    <w:basedOn w:val="Normal"/>
    <w:link w:val="CommentTextChar"/>
    <w:semiHidden/>
    <w:rsid w:val="00FA38D1"/>
  </w:style>
  <w:style w:type="paragraph" w:styleId="CommentSubject">
    <w:name w:val="annotation subject"/>
    <w:basedOn w:val="CommentText"/>
    <w:next w:val="CommentText"/>
    <w:semiHidden/>
    <w:rsid w:val="00FA38D1"/>
    <w:rPr>
      <w:b/>
      <w:bCs/>
    </w:rPr>
  </w:style>
  <w:style w:type="character" w:customStyle="1" w:styleId="Heading1Char">
    <w:name w:val="Heading 1 Char"/>
    <w:link w:val="Heading1"/>
    <w:rsid w:val="00FA38D1"/>
    <w:rPr>
      <w:rFonts w:ascii="Arial" w:hAnsi="Arial" w:cs="Arial"/>
      <w:sz w:val="36"/>
      <w:szCs w:val="36"/>
      <w:lang w:val="en-GB" w:eastAsia="zh-CN"/>
    </w:rPr>
  </w:style>
  <w:style w:type="paragraph" w:customStyle="1" w:styleId="B1">
    <w:name w:val="B1"/>
    <w:basedOn w:val="List"/>
    <w:rsid w:val="00FA38D1"/>
    <w:pPr>
      <w:spacing w:after="180"/>
      <w:jc w:val="left"/>
    </w:pPr>
    <w:rPr>
      <w:lang w:eastAsia="en-US"/>
    </w:rPr>
  </w:style>
  <w:style w:type="paragraph" w:customStyle="1" w:styleId="B2">
    <w:name w:val="B2"/>
    <w:basedOn w:val="List2"/>
    <w:rsid w:val="00FA38D1"/>
    <w:pPr>
      <w:spacing w:after="180"/>
      <w:jc w:val="left"/>
    </w:pPr>
    <w:rPr>
      <w:lang w:eastAsia="en-US"/>
    </w:rPr>
  </w:style>
  <w:style w:type="paragraph" w:customStyle="1" w:styleId="B3">
    <w:name w:val="B3"/>
    <w:basedOn w:val="List3"/>
    <w:rsid w:val="00FA38D1"/>
    <w:pPr>
      <w:spacing w:after="180"/>
      <w:jc w:val="left"/>
    </w:pPr>
    <w:rPr>
      <w:lang w:eastAsia="en-US"/>
    </w:rPr>
  </w:style>
  <w:style w:type="paragraph" w:customStyle="1" w:styleId="B4">
    <w:name w:val="B4"/>
    <w:basedOn w:val="List4"/>
    <w:rsid w:val="00FA38D1"/>
    <w:pPr>
      <w:spacing w:after="180"/>
      <w:jc w:val="left"/>
    </w:pPr>
    <w:rPr>
      <w:lang w:eastAsia="en-US"/>
    </w:rPr>
  </w:style>
  <w:style w:type="paragraph" w:customStyle="1" w:styleId="Proposal">
    <w:name w:val="Proposal"/>
    <w:basedOn w:val="Normal"/>
    <w:rsid w:val="00FA38D1"/>
    <w:pPr>
      <w:numPr>
        <w:numId w:val="3"/>
      </w:numPr>
      <w:tabs>
        <w:tab w:val="clear" w:pos="1304"/>
        <w:tab w:val="left" w:pos="1701"/>
      </w:tabs>
      <w:ind w:left="1701" w:hanging="1701"/>
    </w:pPr>
    <w:rPr>
      <w:b/>
      <w:bCs/>
    </w:rPr>
  </w:style>
  <w:style w:type="character" w:customStyle="1" w:styleId="BodyTextChar">
    <w:name w:val="Body Text Char"/>
    <w:link w:val="BodyText"/>
    <w:rsid w:val="00FA38D1"/>
    <w:rPr>
      <w:rFonts w:ascii="Arial" w:hAnsi="Arial"/>
      <w:lang w:val="en-GB" w:eastAsia="zh-CN"/>
    </w:rPr>
  </w:style>
  <w:style w:type="paragraph" w:customStyle="1" w:styleId="B5">
    <w:name w:val="B5"/>
    <w:basedOn w:val="List5"/>
    <w:rsid w:val="00FA38D1"/>
    <w:pPr>
      <w:spacing w:after="180"/>
      <w:jc w:val="left"/>
    </w:pPr>
    <w:rPr>
      <w:lang w:eastAsia="en-US"/>
    </w:rPr>
  </w:style>
  <w:style w:type="paragraph" w:customStyle="1" w:styleId="EX">
    <w:name w:val="EX"/>
    <w:basedOn w:val="Normal"/>
    <w:rsid w:val="00FA38D1"/>
    <w:pPr>
      <w:keepLines/>
      <w:spacing w:after="180"/>
      <w:ind w:left="1702" w:hanging="1418"/>
      <w:jc w:val="left"/>
    </w:pPr>
    <w:rPr>
      <w:lang w:eastAsia="en-US"/>
    </w:rPr>
  </w:style>
  <w:style w:type="paragraph" w:customStyle="1" w:styleId="EW">
    <w:name w:val="EW"/>
    <w:basedOn w:val="EX"/>
    <w:rsid w:val="00FA38D1"/>
    <w:pPr>
      <w:spacing w:after="0"/>
    </w:pPr>
  </w:style>
  <w:style w:type="paragraph" w:customStyle="1" w:styleId="TAL">
    <w:name w:val="TAL"/>
    <w:basedOn w:val="Normal"/>
    <w:rsid w:val="00FA38D1"/>
    <w:pPr>
      <w:keepNext/>
      <w:keepLines/>
      <w:spacing w:after="0"/>
      <w:jc w:val="left"/>
    </w:pPr>
    <w:rPr>
      <w:sz w:val="18"/>
      <w:lang w:eastAsia="en-US"/>
    </w:rPr>
  </w:style>
  <w:style w:type="paragraph" w:customStyle="1" w:styleId="TAC">
    <w:name w:val="TAC"/>
    <w:basedOn w:val="TAL"/>
    <w:rsid w:val="00FA38D1"/>
    <w:pPr>
      <w:jc w:val="center"/>
    </w:pPr>
  </w:style>
  <w:style w:type="paragraph" w:customStyle="1" w:styleId="TAH">
    <w:name w:val="TAH"/>
    <w:basedOn w:val="TAC"/>
    <w:rsid w:val="00FA38D1"/>
    <w:rPr>
      <w:b/>
    </w:rPr>
  </w:style>
  <w:style w:type="paragraph" w:customStyle="1" w:styleId="TAN">
    <w:name w:val="TAN"/>
    <w:basedOn w:val="TAL"/>
    <w:rsid w:val="00FA38D1"/>
    <w:pPr>
      <w:ind w:left="851" w:hanging="851"/>
    </w:pPr>
  </w:style>
  <w:style w:type="paragraph" w:customStyle="1" w:styleId="TAR">
    <w:name w:val="TAR"/>
    <w:basedOn w:val="TAL"/>
    <w:rsid w:val="00FA38D1"/>
    <w:pPr>
      <w:jc w:val="right"/>
    </w:pPr>
  </w:style>
  <w:style w:type="paragraph" w:customStyle="1" w:styleId="TH">
    <w:name w:val="TH"/>
    <w:basedOn w:val="Normal"/>
    <w:link w:val="THChar"/>
    <w:rsid w:val="00FA38D1"/>
    <w:pPr>
      <w:keepNext/>
      <w:keepLines/>
      <w:spacing w:before="60" w:after="180"/>
      <w:jc w:val="center"/>
    </w:pPr>
    <w:rPr>
      <w:b/>
      <w:lang w:eastAsia="en-US"/>
    </w:rPr>
  </w:style>
  <w:style w:type="paragraph" w:customStyle="1" w:styleId="TF">
    <w:name w:val="TF"/>
    <w:aliases w:val="left"/>
    <w:basedOn w:val="TH"/>
    <w:link w:val="TFChar"/>
    <w:rsid w:val="00FA38D1"/>
    <w:pPr>
      <w:keepNext w:val="0"/>
      <w:spacing w:before="0" w:after="240"/>
    </w:pPr>
  </w:style>
  <w:style w:type="paragraph" w:customStyle="1" w:styleId="TT">
    <w:name w:val="TT"/>
    <w:basedOn w:val="Heading1"/>
    <w:next w:val="Normal"/>
    <w:rsid w:val="00FA38D1"/>
    <w:pPr>
      <w:numPr>
        <w:numId w:val="0"/>
      </w:numPr>
      <w:ind w:left="1134" w:hanging="1134"/>
      <w:outlineLvl w:val="9"/>
    </w:pPr>
    <w:rPr>
      <w:rFonts w:cs="Times New Roman"/>
      <w:szCs w:val="20"/>
      <w:lang w:eastAsia="en-US"/>
    </w:rPr>
  </w:style>
  <w:style w:type="paragraph" w:customStyle="1" w:styleId="ZA">
    <w:name w:val="ZA"/>
    <w:rsid w:val="00FA3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3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38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A38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A38D1"/>
  </w:style>
  <w:style w:type="paragraph" w:customStyle="1" w:styleId="ZH">
    <w:name w:val="ZH"/>
    <w:rsid w:val="00FA38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A38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A38D1"/>
    <w:pPr>
      <w:framePr w:hRule="auto" w:wrap="notBeside" w:y="852"/>
    </w:pPr>
    <w:rPr>
      <w:i w:val="0"/>
      <w:sz w:val="40"/>
    </w:rPr>
  </w:style>
  <w:style w:type="paragraph" w:customStyle="1" w:styleId="ZU">
    <w:name w:val="ZU"/>
    <w:rsid w:val="00FA3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38D1"/>
    <w:pPr>
      <w:framePr w:wrap="notBeside" w:y="16161"/>
    </w:pPr>
  </w:style>
  <w:style w:type="paragraph" w:customStyle="1" w:styleId="FP">
    <w:name w:val="FP"/>
    <w:basedOn w:val="Normal"/>
    <w:rsid w:val="00FA38D1"/>
    <w:pPr>
      <w:spacing w:after="0"/>
      <w:jc w:val="left"/>
    </w:pPr>
    <w:rPr>
      <w:lang w:eastAsia="en-US"/>
    </w:rPr>
  </w:style>
  <w:style w:type="paragraph" w:customStyle="1" w:styleId="Observation">
    <w:name w:val="Observation"/>
    <w:basedOn w:val="Proposal"/>
    <w:qFormat/>
    <w:rsid w:val="00FA38D1"/>
    <w:pPr>
      <w:numPr>
        <w:numId w:val="13"/>
      </w:numPr>
      <w:ind w:left="1701" w:hanging="1701"/>
    </w:pPr>
  </w:style>
  <w:style w:type="paragraph" w:styleId="TableofFigures">
    <w:name w:val="table of figures"/>
    <w:basedOn w:val="Normal"/>
    <w:next w:val="Normal"/>
    <w:uiPriority w:val="99"/>
    <w:rsid w:val="00FA38D1"/>
    <w:pPr>
      <w:ind w:left="1418" w:hanging="1418"/>
      <w:jc w:val="left"/>
    </w:pPr>
    <w:rPr>
      <w:b/>
    </w:rPr>
  </w:style>
  <w:style w:type="paragraph" w:customStyle="1" w:styleId="Doc-text2">
    <w:name w:val="Doc-text2"/>
    <w:basedOn w:val="Normal"/>
    <w:link w:val="Doc-text2Char"/>
    <w:qFormat/>
    <w:rsid w:val="00A90B61"/>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sz w:val="22"/>
      <w:szCs w:val="24"/>
      <w:lang w:eastAsia="en-GB"/>
    </w:rPr>
  </w:style>
  <w:style w:type="character" w:customStyle="1" w:styleId="Doc-text2Char">
    <w:name w:val="Doc-text2 Char"/>
    <w:link w:val="Doc-text2"/>
    <w:locked/>
    <w:rsid w:val="00A90B61"/>
    <w:rPr>
      <w:rFonts w:asciiTheme="minorHAnsi" w:eastAsia="MS Mincho" w:hAnsiTheme="minorHAnsi"/>
      <w:sz w:val="22"/>
      <w:szCs w:val="24"/>
      <w:lang w:val="en-GB" w:eastAsia="en-GB"/>
    </w:rPr>
  </w:style>
  <w:style w:type="character" w:customStyle="1" w:styleId="TFChar">
    <w:name w:val="TF Char"/>
    <w:basedOn w:val="DefaultParagraphFont"/>
    <w:link w:val="TF"/>
    <w:locked/>
    <w:rsid w:val="00A90B61"/>
    <w:rPr>
      <w:rFonts w:ascii="Arial" w:hAnsi="Arial"/>
      <w:b/>
      <w:lang w:val="en-GB"/>
    </w:rPr>
  </w:style>
  <w:style w:type="character" w:customStyle="1" w:styleId="THChar">
    <w:name w:val="TH Char"/>
    <w:link w:val="TH"/>
    <w:locked/>
    <w:rsid w:val="00A90B61"/>
    <w:rPr>
      <w:rFonts w:ascii="Arial" w:hAnsi="Arial"/>
      <w:b/>
      <w:lang w:val="en-GB"/>
    </w:rPr>
  </w:style>
  <w:style w:type="character" w:customStyle="1" w:styleId="CommentTextChar">
    <w:name w:val="Comment Text Char"/>
    <w:basedOn w:val="DefaultParagraphFont"/>
    <w:link w:val="CommentText"/>
    <w:semiHidden/>
    <w:rsid w:val="003D08EE"/>
    <w:rPr>
      <w:rFonts w:ascii="Arial" w:hAnsi="Arial"/>
      <w:lang w:val="en-GB" w:eastAsia="zh-CN"/>
    </w:rPr>
  </w:style>
  <w:style w:type="character" w:customStyle="1" w:styleId="ReferenceChar">
    <w:name w:val="Reference Char"/>
    <w:link w:val="Reference"/>
    <w:locked/>
    <w:rsid w:val="004B783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890283">
      <w:bodyDiv w:val="1"/>
      <w:marLeft w:val="0"/>
      <w:marRight w:val="0"/>
      <w:marTop w:val="0"/>
      <w:marBottom w:val="0"/>
      <w:divBdr>
        <w:top w:val="none" w:sz="0" w:space="0" w:color="auto"/>
        <w:left w:val="none" w:sz="0" w:space="0" w:color="auto"/>
        <w:bottom w:val="none" w:sz="0" w:space="0" w:color="auto"/>
        <w:right w:val="none" w:sz="0" w:space="0" w:color="auto"/>
      </w:divBdr>
    </w:div>
    <w:div w:id="750007978">
      <w:bodyDiv w:val="1"/>
      <w:marLeft w:val="0"/>
      <w:marRight w:val="0"/>
      <w:marTop w:val="0"/>
      <w:marBottom w:val="0"/>
      <w:divBdr>
        <w:top w:val="none" w:sz="0" w:space="0" w:color="auto"/>
        <w:left w:val="none" w:sz="0" w:space="0" w:color="auto"/>
        <w:bottom w:val="none" w:sz="0" w:space="0" w:color="auto"/>
        <w:right w:val="none" w:sz="0" w:space="0" w:color="auto"/>
      </w:divBdr>
    </w:div>
    <w:div w:id="1077284962">
      <w:bodyDiv w:val="1"/>
      <w:marLeft w:val="0"/>
      <w:marRight w:val="0"/>
      <w:marTop w:val="0"/>
      <w:marBottom w:val="0"/>
      <w:divBdr>
        <w:top w:val="none" w:sz="0" w:space="0" w:color="auto"/>
        <w:left w:val="none" w:sz="0" w:space="0" w:color="auto"/>
        <w:bottom w:val="none" w:sz="0" w:space="0" w:color="auto"/>
        <w:right w:val="none" w:sz="0" w:space="0" w:color="auto"/>
      </w:divBdr>
    </w:div>
    <w:div w:id="1208641907">
      <w:bodyDiv w:val="1"/>
      <w:marLeft w:val="0"/>
      <w:marRight w:val="0"/>
      <w:marTop w:val="0"/>
      <w:marBottom w:val="0"/>
      <w:divBdr>
        <w:top w:val="none" w:sz="0" w:space="0" w:color="auto"/>
        <w:left w:val="none" w:sz="0" w:space="0" w:color="auto"/>
        <w:bottom w:val="none" w:sz="0" w:space="0" w:color="auto"/>
        <w:right w:val="none" w:sz="0" w:space="0" w:color="auto"/>
      </w:divBdr>
    </w:div>
    <w:div w:id="1362631822">
      <w:bodyDiv w:val="1"/>
      <w:marLeft w:val="0"/>
      <w:marRight w:val="0"/>
      <w:marTop w:val="0"/>
      <w:marBottom w:val="0"/>
      <w:divBdr>
        <w:top w:val="none" w:sz="0" w:space="0" w:color="auto"/>
        <w:left w:val="none" w:sz="0" w:space="0" w:color="auto"/>
        <w:bottom w:val="none" w:sz="0" w:space="0" w:color="auto"/>
        <w:right w:val="none" w:sz="0" w:space="0" w:color="auto"/>
      </w:divBdr>
    </w:div>
    <w:div w:id="1437285824">
      <w:bodyDiv w:val="1"/>
      <w:marLeft w:val="0"/>
      <w:marRight w:val="0"/>
      <w:marTop w:val="0"/>
      <w:marBottom w:val="0"/>
      <w:divBdr>
        <w:top w:val="none" w:sz="0" w:space="0" w:color="auto"/>
        <w:left w:val="none" w:sz="0" w:space="0" w:color="auto"/>
        <w:bottom w:val="none" w:sz="0" w:space="0" w:color="auto"/>
        <w:right w:val="none" w:sz="0" w:space="0" w:color="auto"/>
      </w:divBdr>
    </w:div>
    <w:div w:id="1499736373">
      <w:bodyDiv w:val="1"/>
      <w:marLeft w:val="0"/>
      <w:marRight w:val="0"/>
      <w:marTop w:val="0"/>
      <w:marBottom w:val="0"/>
      <w:divBdr>
        <w:top w:val="none" w:sz="0" w:space="0" w:color="auto"/>
        <w:left w:val="none" w:sz="0" w:space="0" w:color="auto"/>
        <w:bottom w:val="none" w:sz="0" w:space="0" w:color="auto"/>
        <w:right w:val="none" w:sz="0" w:space="0" w:color="auto"/>
      </w:divBdr>
    </w:div>
    <w:div w:id="1550875449">
      <w:bodyDiv w:val="1"/>
      <w:marLeft w:val="0"/>
      <w:marRight w:val="0"/>
      <w:marTop w:val="0"/>
      <w:marBottom w:val="0"/>
      <w:divBdr>
        <w:top w:val="none" w:sz="0" w:space="0" w:color="auto"/>
        <w:left w:val="none" w:sz="0" w:space="0" w:color="auto"/>
        <w:bottom w:val="none" w:sz="0" w:space="0" w:color="auto"/>
        <w:right w:val="none" w:sz="0" w:space="0" w:color="auto"/>
      </w:divBdr>
    </w:div>
    <w:div w:id="1640720094">
      <w:bodyDiv w:val="1"/>
      <w:marLeft w:val="0"/>
      <w:marRight w:val="0"/>
      <w:marTop w:val="0"/>
      <w:marBottom w:val="0"/>
      <w:divBdr>
        <w:top w:val="none" w:sz="0" w:space="0" w:color="auto"/>
        <w:left w:val="none" w:sz="0" w:space="0" w:color="auto"/>
        <w:bottom w:val="none" w:sz="0" w:space="0" w:color="auto"/>
        <w:right w:val="none" w:sz="0" w:space="0" w:color="auto"/>
      </w:divBdr>
    </w:div>
    <w:div w:id="202200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5NUHHDQN7SK2-1-114853</_dlc_DocId>
    <_dlc_DocIdUrl xmlns="08b2df90-05d3-4030-90d4-c9feeb4a1cd9">
      <Url>https://ericoll.internal.ericsson.com/sites/STAR/_layouts/DocIdRedir.aspx?ID=5NUHHDQN7SK2-1-114853</Url>
      <Description>5NUHHDQN7SK2-1-114853</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9F5946CB-8946-499C-8B44-7DE1A592D1D0}"/>
</file>

<file path=customXml/itemProps3.xml><?xml version="1.0" encoding="utf-8"?>
<ds:datastoreItem xmlns:ds="http://schemas.openxmlformats.org/officeDocument/2006/customXml" ds:itemID="{A6ADDEA9-6B92-4E8E-BF1A-BE0E057DD172}"/>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F95D044E-DEF4-44A0-9715-94CD62B64AD4}"/>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29737325-2572-414F-A3B7-DF674C9FB963}"/>
</file>

<file path=docProps/app.xml><?xml version="1.0" encoding="utf-8"?>
<Properties xmlns="http://schemas.openxmlformats.org/officeDocument/2006/extended-properties" xmlns:vt="http://schemas.openxmlformats.org/officeDocument/2006/docPropsVTypes">
  <Template>R2-15xxxx - Contribution template</Template>
  <TotalTime>3</TotalTime>
  <Pages>3</Pages>
  <Words>957</Words>
  <Characters>5062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Stefan Wager</cp:lastModifiedBy>
  <cp:revision>3</cp:revision>
  <cp:lastPrinted>2008-01-31T16:09:00Z</cp:lastPrinted>
  <dcterms:created xsi:type="dcterms:W3CDTF">2017-03-24T21:18:00Z</dcterms:created>
  <dcterms:modified xsi:type="dcterms:W3CDTF">2017-03-24T23:49:00Z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4aaf1a97-d3d8-4a19-9291-87269891fe67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